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color w:val="2E75B6"/>
          <w:sz w:val="36"/>
          <w:szCs w:val="36"/>
        </w:rPr>
        <w:t xml:space="preserve">CHARM INDUSTRIAL</w:t>
      </w:r>
    </w:p>
    <w:p>
      <w:pPr>
        <w:spacing w:after="300"/>
        <w:jc w:val="center"/>
      </w:pPr>
      <w:r>
        <w:rPr>
          <w:rFonts w:ascii="Arial" w:cs="Arial" w:eastAsia="Arial" w:hAnsi="Arial"/>
          <w:sz w:val="26"/>
          <w:szCs w:val="26"/>
        </w:rPr>
        <w:t xml:space="preserve">Response to Isometric’s Compliance Brief Review: Biochar Storage in Soil Environments v1.2</w:t>
      </w:r>
    </w:p>
    <w:p>
      <w:pPr>
        <w:spacing w:after="60"/>
      </w:pPr>
      <w:r>
        <w:rPr>
          <w:b/>
          <w:bCs/>
          <w:sz w:val="24"/>
          <w:szCs w:val="24"/>
        </w:rPr>
        <w:t xml:space="preserve">Date: </w:t>
      </w:r>
      <w:r>
        <w:rPr>
          <w:sz w:val="24"/>
          <w:szCs w:val="24"/>
        </w:rPr>
        <w:t xml:space="preserve">April 1, 2026</w:t>
      </w:r>
    </w:p>
    <w:p>
      <w:pPr>
        <w:spacing w:after="60"/>
      </w:pPr>
      <w:r>
        <w:rPr>
          <w:b/>
          <w:bCs/>
          <w:sz w:val="24"/>
          <w:szCs w:val="24"/>
        </w:rPr>
        <w:t xml:space="preserve">From: </w:t>
      </w:r>
      <w:r>
        <w:rPr>
          <w:sz w:val="24"/>
          <w:szCs w:val="24"/>
        </w:rPr>
        <w:t xml:space="preserve">Max Lavine, Carbon Protocol and Verification Lead, Charm Industrial</w:t>
      </w:r>
    </w:p>
    <w:p>
      <w:pPr>
        <w:spacing w:after="60"/>
      </w:pPr>
      <w:r>
        <w:rPr>
          <w:b/>
          <w:bCs/>
          <w:sz w:val="24"/>
          <w:szCs w:val="24"/>
        </w:rPr>
        <w:t xml:space="preserve">To: </w:t>
      </w:r>
      <w:r>
        <w:rPr>
          <w:sz w:val="24"/>
          <w:szCs w:val="24"/>
        </w:rPr>
        <w:t xml:space="preserve">Isometric Science Team</w:t>
      </w:r>
    </w:p>
    <w:p>
      <w:pPr>
        <w:spacing w:after="300"/>
      </w:pPr>
      <w:r>
        <w:rPr>
          <w:b/>
          <w:bCs/>
          <w:sz w:val="24"/>
          <w:szCs w:val="24"/>
        </w:rPr>
        <w:t xml:space="preserve">Re: </w:t>
      </w:r>
      <w:r>
        <w:rPr>
          <w:sz w:val="24"/>
          <w:szCs w:val="24"/>
        </w:rPr>
        <w:t xml:space="preserve">Isometric Response to Charm’s Compliance Brief on Biochar Storage in Soil Environments v1.2</w:t>
      </w:r>
    </w:p>
    <w:p>
      <w:pPr>
        <w:pStyle w:val="Heading1"/>
      </w:pPr>
      <w:r>
        <w:t xml:space="preserve">Purpose</w:t>
      </w:r>
    </w:p>
    <w:p>
      <w:pPr>
        <w:spacing w:after="200"/>
      </w:pPr>
      <w:r>
        <w:t xml:space="preserve">Thank you for your detailed review of our Compliance Brief. We appreciate the engagement on each point and the clarifications provided regarding the intent and scope of the Biochar Storage in Soil Environments v1.2 module.</w:t>
      </w:r>
    </w:p>
    <w:p>
      <w:pPr>
        <w:spacing w:after="200"/>
      </w:pPr>
      <w:r>
        <w:t xml:space="preserve">This response addresses two distinct categories of issues raised in Isometric’s review:</w:t>
      </w:r>
    </w:p>
    <w:p>
      <w:pPr>
        <w:pStyle w:val="ListParagraph"/>
        <w:numPr>
          <w:ilvl w:val="0"/>
          <w:numId w:val="2"/>
        </w:numPr>
        <w:spacing w:after="100"/>
      </w:pPr>
      <w:r>
        <w:t xml:space="preserve">Composting evidence and storage requirements introduced in v1.2 — which, under the Isometric Standard v2.0 adoption rules, Charm is not required to adopt until crediting period renewal, with the exception of third-party composter sales where Charm has already established verified precedent under the existing framework.</w:t>
      </w:r>
    </w:p>
    <w:p>
      <w:pPr>
        <w:pStyle w:val="ListParagraph"/>
        <w:numPr>
          <w:ilvl w:val="0"/>
          <w:numId w:val="2"/>
        </w:numPr>
        <w:spacing w:after="200"/>
      </w:pPr>
      <w:r>
        <w:t xml:space="preserve">The H:Corg &lt; 0.5 eligibility threshold — which is an existing requirement under the current protocol version, not new to v1.2. We understand Isometric’s position and do not see further action or discussion as necessary at this time.</w:t>
      </w:r>
    </w:p>
    <w:p>
      <w:pPr>
        <w:pStyle w:val="Heading1"/>
      </w:pPr>
      <w:r>
        <w:t xml:space="preserve">1. Protocol Adoption Timing and v1.2 Requirements</w:t>
      </w:r>
    </w:p>
    <w:p>
      <w:pPr>
        <w:pStyle w:val="Heading2"/>
      </w:pPr>
      <w:r>
        <w:t xml:space="preserve">1.1 The Governing Rule</w:t>
      </w:r>
    </w:p>
    <w:p>
      <w:pPr>
        <w:spacing w:after="200"/>
      </w:pPr>
      <w:r>
        <w:t xml:space="preserve">The Isometric Standard v2.0 (§2.4.5) establishes the following protocol adoption requirements upon release of a new Protocol version:</w:t>
      </w:r>
    </w:p>
    <w:p>
      <w:pPr>
        <w:pStyle w:val="ListParagraph"/>
        <w:numPr>
          <w:ilvl w:val="0"/>
          <w:numId w:val="2"/>
        </w:numPr>
        <w:spacing w:after="100"/>
      </w:pPr>
      <w:r>
        <w:rPr>
          <w:b/>
          <w:bCs/>
        </w:rPr>
        <w:t xml:space="preserve">Major</w:t>
      </w:r>
      <w:r>
        <w:t xml:space="preserve"> – Projects are not required to adopt a new major version until they seek renewal of their Crediting Period.</w:t>
      </w:r>
    </w:p>
    <w:p>
      <w:pPr>
        <w:pStyle w:val="ListParagraph"/>
        <w:numPr>
          <w:ilvl w:val="0"/>
          <w:numId w:val="2"/>
        </w:numPr>
        <w:spacing w:after="100"/>
      </w:pPr>
      <w:r>
        <w:rPr>
          <w:b/>
          <w:bCs/>
        </w:rPr>
        <w:t xml:space="preserve">Minor</w:t>
      </w:r>
      <w:r>
        <w:t xml:space="preserve"> – Same as Major: Projects are not required to adopt a new minor version until they seek renewal of their Crediting Period.</w:t>
      </w:r>
    </w:p>
    <w:p>
      <w:pPr>
        <w:pStyle w:val="ListParagraph"/>
        <w:numPr>
          <w:ilvl w:val="0"/>
          <w:numId w:val="2"/>
        </w:numPr>
        <w:spacing w:after="200"/>
      </w:pPr>
      <w:r>
        <w:rPr>
          <w:b/>
          <w:bCs/>
        </w:rPr>
        <w:t xml:space="preserve">Patch</w:t>
      </w:r>
      <w:r>
        <w:t xml:space="preserve"> – Take effect automatically upon release.</w:t>
      </w:r>
    </w:p>
    <w:p>
      <w:pPr>
        <w:spacing w:after="200"/>
      </w:pPr>
      <w:r>
        <w:t xml:space="preserve">Section 2.4.6 reinforces this with an explicit backward compatibility mechanism: “No forced major and minor version upgrades. Projects continue under the Protocol version they were Validated against until they choose to renew or Isometric triggers a renewal.”</w:t>
      </w:r>
    </w:p>
    <w:p>
      <w:pPr>
        <w:spacing w:after="200"/>
      </w:pPr>
      <w:r>
        <w:t xml:space="preserve">Furthermore, §2.4.2 states: “Credits issued against a previous Protocol version are not affected by Protocol updates.”</w:t>
      </w:r>
    </w:p>
    <w:p>
      <w:pPr>
        <w:pStyle w:val="Heading2"/>
      </w:pPr>
      <w:r>
        <w:t xml:space="preserve">1.2 Application to Charm’s Biochar Program</w:t>
      </w:r>
    </w:p>
    <w:p>
      <w:pPr>
        <w:spacing w:after="200"/>
      </w:pPr>
      <w:r>
        <w:t xml:space="preserve">Biochar Storage in Soil Environments v1.2 is a minor version update from the predecessor module, Biochar Storage in Agricultural Soils v1.1. Under the rules above, Charm is not required to adopt v1.2 until it seeks renewal of its Crediting Period. Per Isometric Standard v2.0 §3.4, the crediting period for projects under the Biogenic Carbon Capture and Storage Protocol is 15 years.</w:t>
      </w:r>
    </w:p>
    <w:p>
      <w:pPr>
        <w:spacing w:after="200"/>
      </w:pPr>
      <w:r>
        <w:t xml:space="preserve">This is a material change from the v1.9 regime, under which minor version releases triggered a 12-month adoption window. Under v2.0, that forced adoption mechanism no longer exists for minor versions.</w:t>
      </w:r>
    </w:p>
    <w:p>
      <w:pPr>
        <w:pStyle w:val="Heading2"/>
      </w:pPr>
      <w:r>
        <w:t xml:space="preserve">1.3 Implications for v1.2 Requirements</w:t>
      </w:r>
    </w:p>
    <w:p>
      <w:pPr>
        <w:spacing w:after="200"/>
      </w:pPr>
      <w:r>
        <w:t xml:space="preserve">Because Charm is not required to adopt v1.2 at this time, the new requirements introduced in that version — including enhanced evidence documentation (§8.7), indoor storage recommendations, wetting protocols, and stockpiling duration limits (§7.3) — do not currently apply to Charm’s operations.</w:t>
      </w:r>
    </w:p>
    <w:p>
      <w:pPr>
        <w:pStyle w:val="Heading1"/>
      </w:pPr>
      <w:r>
        <w:t xml:space="preserve">2. Third-Party Composter Sales: Established Precedent</w:t>
      </w:r>
    </w:p>
    <w:p>
      <w:pPr>
        <w:pStyle w:val="Heading2"/>
      </w:pPr>
      <w:r>
        <w:t xml:space="preserve">2.1 Isometric’s Position</w:t>
      </w:r>
    </w:p>
    <w:p>
      <w:pPr>
        <w:spacing w:after="200"/>
      </w:pPr>
      <w:r>
        <w:t xml:space="preserve">In Section 3 of Isometric’s response, Isometric states that while it is “acceptable for Charm to re-validate under an older version of a module” per Standard v2.0, the predecessor module “Storage in Agricultural Soils v1.1 module only credits biochar that is deployed directly to soils. Third-party sales are only covered under Storage in Soils v1.2.”</w:t>
      </w:r>
    </w:p>
    <w:p>
      <w:pPr>
        <w:spacing w:after="200"/>
      </w:pPr>
      <w:r>
        <w:t xml:space="preserve">The implication is that Charm cannot credit biochar sales to third-party composters unless it adopts v1.2 and complies with the new evidence requirements under §8.7 (including §8.7.1 affidavits and §8.7.2 sales documentation).</w:t>
      </w:r>
    </w:p>
    <w:p>
      <w:pPr>
        <w:pStyle w:val="Heading2"/>
      </w:pPr>
      <w:r>
        <w:t xml:space="preserve">2.2 Charm’s Position: Precedent Has Been Set</w:t>
      </w:r>
    </w:p>
    <w:p>
      <w:pPr>
        <w:spacing w:after="200"/>
      </w:pPr>
      <w:r>
        <w:t xml:space="preserve">Charm disagrees with this characterization. Charm has already negotiated conditions for crediting sales to third-party composters under the existing framework and had those credits verified by the appointed VVB (350 Solutions) and Isometric. This verification established that biochar delivered to composters for blending into soil amendment products constitutes a valid deployment pathway given the evidence already provided by Charm.</w:t>
      </w:r>
    </w:p>
    <w:p>
      <w:pPr>
        <w:spacing w:after="200"/>
      </w:pPr>
      <w:r>
        <w:t xml:space="preserve">This establishes binding precedent. The crediting pathway for third-party composter sales was accepted by Isometric and verified under the existing protocol version. Isometric Standard v2.0 §2.4.2 confirms that “Credits issued against a previous Protocol version are not affected by Protocol updates.” By extension, the conditions under which those credits were issued — including the evidence framework for third-party sales — remain valid.</w:t>
      </w:r>
    </w:p>
    <w:p>
      <w:pPr>
        <w:spacing w:after="200"/>
      </w:pPr>
      <w:r>
        <w:t xml:space="preserve">In addition to the protocol adoption timing rules discussed in Section 1, Charm’s position is that the certification of a new protocol version should not invalidate verified and precedented agreements between a Project Proponent and Isometric. The conditions under which Charm’s composter deliveries were credited were negotiated in good faith and verified by the VVB. The subsequent introduction of more formalized evidence requirements in v1.2 (§8.7) does not retroactively alter the terms of that established arrangement.</w:t>
      </w:r>
    </w:p>
    <w:p>
      <w:pPr>
        <w:pStyle w:val="Heading1"/>
      </w:pPr>
      <w:r>
        <w:t xml:space="preserve">3. H:Corg Eligibility Threshold</w:t>
      </w:r>
    </w:p>
    <w:p>
      <w:pPr>
        <w:spacing w:after="200"/>
      </w:pPr>
      <w:r>
        <w:t xml:space="preserve">Isometric’s response reaffirms the H:Corg &lt; 0.5 eligibility threshold for biochar crediting. We understand that this is an existing requirement under the current protocol version and is not new to v1.2.</w:t>
      </w:r>
    </w:p>
    <w:p>
      <w:pPr>
        <w:spacing w:after="200"/>
      </w:pPr>
      <w:r>
        <w:t xml:space="preserve">We understand Isometric’s position on this point. Charm does not see further action or discussion as necessary at this time.</w:t>
      </w:r>
    </w:p>
    <w:p>
      <w:pPr>
        <w:pStyle w:val="Heading1"/>
      </w:pPr>
      <w:r>
        <w:t xml:space="preserve">4. Summary</w:t>
      </w:r>
    </w:p>
    <w:p>
      <w:pPr>
        <w:spacing w:after="200"/>
      </w:pPr>
      <w:r>
        <w:t xml:space="preserve">In summary, Charm’s position is as follows:</w:t>
      </w:r>
    </w:p>
    <w:p>
      <w:pPr>
        <w:pStyle w:val="ListParagraph"/>
        <w:numPr>
          <w:ilvl w:val="0"/>
          <w:numId w:val="3"/>
        </w:numPr>
        <w:spacing w:after="100"/>
      </w:pPr>
      <w:r>
        <w:rPr>
          <w:b/>
          <w:bCs/>
        </w:rPr>
        <w:t xml:space="preserve">Protocol adoption timing: </w:t>
      </w:r>
      <w:r>
        <w:t xml:space="preserve">Under Isometric Standard v2.0 §2.4.5 and §2.4.6, Charm is not required to adopt Biochar Storage in Soil Environments v1.2 until crediting period renewal. The new composting evidence, storage, and stockpiling requirements introduced in v1.2 are therefore not currently applicable to Charm’s operations.</w:t>
      </w:r>
    </w:p>
    <w:p>
      <w:pPr>
        <w:pStyle w:val="ListParagraph"/>
        <w:numPr>
          <w:ilvl w:val="0"/>
          <w:numId w:val="3"/>
        </w:numPr>
        <w:spacing w:after="100"/>
      </w:pPr>
      <w:r>
        <w:rPr>
          <w:b/>
          <w:bCs/>
        </w:rPr>
        <w:t xml:space="preserve">Third-party composter sales: </w:t>
      </w:r>
      <w:r>
        <w:t xml:space="preserve">Charm has established verified precedent for crediting biochar deliveries to third-party compost blenders under the existing framework. The certification of a new protocol version should not invalidate these verified and precedented agreements. Charm will continue to provide the same categories of evidence that supported prior verifications.</w:t>
      </w:r>
    </w:p>
    <w:p>
      <w:pPr>
        <w:pStyle w:val="ListParagraph"/>
        <w:numPr>
          <w:ilvl w:val="0"/>
          <w:numId w:val="3"/>
        </w:numPr>
        <w:spacing w:after="200"/>
      </w:pPr>
      <w:r>
        <w:rPr>
          <w:b/>
          <w:bCs/>
        </w:rPr>
        <w:t xml:space="preserve">H:Corg threshold: </w:t>
      </w:r>
      <w:r>
        <w:t xml:space="preserve">We understand Isometric’s position on the existing H:Corg &lt; 0.5 eligibility requirement. We do not see further action or discussion as necessary at this time.</w:t>
      </w:r>
    </w:p>
    <w:p>
      <w:pPr>
        <w:spacing w:after="200"/>
      </w:pPr>
      <w:r>
        <w:t xml:space="preserve">We welcome further discussion on any of these points and are available to meet at Isometric’s convenience.</w:t>
      </w:r>
    </w:p>
    <w:p>
      <w:pPr>
        <w:spacing w:before="600"/>
      </w:pPr>
    </w:p>
    <w:p>
      <w:pPr>
        <w:spacing w:after="40"/>
      </w:pPr>
      <w:r>
        <w:rPr>
          <w:b/>
          <w:bCs/>
        </w:rPr>
        <w:t xml:space="preserve">Max Lavine</w:t>
      </w:r>
    </w:p>
    <w:p>
      <w:pPr>
        <w:spacing w:after="40"/>
      </w:pPr>
      <w:r>
        <w:t xml:space="preserve">Carbon Protocol and Verification Lead</w:t>
      </w:r>
    </w:p>
    <w:p>
      <w:pPr>
        <w:spacing w:after="40"/>
      </w:pPr>
      <w:r>
        <w:t xml:space="preserve">Charm Industrial</w:t>
      </w:r>
    </w:p>
    <w:p>
      <w:r>
        <w:rPr>
          <w:color w:val="2E75B6"/>
        </w:rPr>
        <w:t xml:space="preserve">max@charmindustrial.com</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t xml:space="preserve">Page </w:t>
    </w:r>
    <w:r>
      <w:rPr>
        <w:rFonts w:ascii="Arial" w:cs="Arial" w:eastAsia="Arial" w:hAnsi="Arial"/>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pPr>
    <w:r>
      <w:rPr>
        <w:rFonts w:ascii="Arial" w:cs="Arial" w:eastAsia="Arial" w:hAnsi="Arial"/>
        <w:b/>
        <w:bCs/>
        <w:color w:val="2E75B6"/>
        <w:sz w:val="18"/>
        <w:szCs w:val="18"/>
      </w:rPr>
      <w:t xml:space="preserve">CHARM INDUSTRIAL</w:t>
    </w:r>
    <w:r>
      <w:rPr>
        <w:rFonts w:ascii="Arial" w:cs="Arial" w:eastAsia="Arial" w:hAnsi="Arial"/>
        <w:i/>
        <w:iCs/>
        <w:color w:val="888888"/>
        <w:sz w:val="16"/>
        <w:szCs w:val="16"/>
      </w:rPr>
      <w:t xml:space="preserv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sz w:val="32"/>
      <w:szCs w:val="32"/>
    </w:rPr>
  </w:style>
  <w:style w:type="paragraph" w:styleId="Heading2">
    <w:name w:val="Heading 2"/>
    <w:basedOn w:val="Normal"/>
    <w:next w:val="Normal"/>
    <w:qFormat/>
    <w:pPr>
      <w:spacing w:after="160" w:before="24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2026-04-01T16:56:53.849Z</dcterms:created>
  <dcterms:modified xsi:type="dcterms:W3CDTF">2026-04-01T16:56:53.849Z</dcterms:modified>
</cp:coreProperties>
</file>

<file path=docProps/custom.xml><?xml version="1.0" encoding="utf-8"?>
<Properties xmlns="http://schemas.openxmlformats.org/officeDocument/2006/custom-properties" xmlns:vt="http://schemas.openxmlformats.org/officeDocument/2006/docPropsVTypes"/>
</file>