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52E8D" w14:textId="77777777" w:rsidR="00E365D3" w:rsidRDefault="00000000">
      <w:pPr>
        <w:spacing w:after="80"/>
      </w:pPr>
      <w:r>
        <w:rPr>
          <w:b/>
          <w:bCs/>
          <w:color w:val="2E5C8A"/>
          <w:sz w:val="44"/>
          <w:szCs w:val="44"/>
        </w:rPr>
        <w:t>Position Brief</w:t>
      </w:r>
    </w:p>
    <w:p w14:paraId="1D779A70" w14:textId="77777777" w:rsidR="00E365D3" w:rsidRDefault="00000000">
      <w:pPr>
        <w:spacing w:after="40"/>
      </w:pPr>
      <w:r>
        <w:rPr>
          <w:color w:val="444444"/>
          <w:sz w:val="32"/>
          <w:szCs w:val="32"/>
        </w:rPr>
        <w:t>Two Requirements in Isometric’s Biochar Storage Module</w:t>
      </w:r>
    </w:p>
    <w:p w14:paraId="106C6B8B" w14:textId="77777777" w:rsidR="00E365D3" w:rsidRDefault="00000000">
      <w:pPr>
        <w:spacing w:after="80"/>
      </w:pPr>
      <w:r>
        <w:rPr>
          <w:color w:val="444444"/>
          <w:sz w:val="32"/>
          <w:szCs w:val="32"/>
        </w:rPr>
        <w:t>That Are Out of Step with High-Integrity Biochar Methodologies</w:t>
      </w:r>
    </w:p>
    <w:p w14:paraId="2A667775" w14:textId="77777777" w:rsidR="00E365D3" w:rsidRDefault="00000000">
      <w:pPr>
        <w:pBdr>
          <w:bottom w:val="single" w:sz="6" w:space="8" w:color="2E5C8A"/>
        </w:pBdr>
        <w:spacing w:after="300"/>
      </w:pPr>
      <w:r>
        <w:rPr>
          <w:color w:val="999999"/>
          <w:sz w:val="20"/>
          <w:szCs w:val="20"/>
        </w:rPr>
        <w:t>Biochar Storage in Soil Environments v1.2  |  April 2026</w:t>
      </w:r>
    </w:p>
    <w:p w14:paraId="380193AE" w14:textId="77777777" w:rsidR="00E365D3" w:rsidRDefault="00000000">
      <w:pPr>
        <w:pStyle w:val="Heading1"/>
      </w:pPr>
      <w:r>
        <w:t>Summary</w:t>
      </w:r>
    </w:p>
    <w:p w14:paraId="2F8B3B53" w14:textId="77777777" w:rsidR="00E365D3" w:rsidRDefault="00000000">
      <w:pPr>
        <w:spacing w:after="200"/>
      </w:pPr>
      <w:r>
        <w:t>Two requirements in the v1.2 Biochar Storage in Soil Environments module are operationally untenable for Charm and have no equivalent in the three leading comparator methodologies reviewed here. This brief benchmarks them against three comparators: Verra VM0044 v1.2 (CCP-Approved), Rainbow BiCRS Biochar Application to Soils v2.3 (CCP-Eligible at program level), and Puro.earth Biochar 2025 (CCP-Eligible, Frontier-designated Leading Credit Issuer). Both Isometric and Puro.earth hold dual integrity designations as Frontier Leading Credit Issuers in addition to their ICVCM status—and notably, Isometric’s own Biochar Production and Storage v1.0 was CCP-Approved, meaning the ICVCM deemed v1.0’s evidence and storage requirements sufficient. The v1.2 storage module has since added requirements that go beyond what was assessed.</w:t>
      </w:r>
    </w:p>
    <w:p w14:paraId="0B6FB313" w14:textId="77777777" w:rsidR="00E365D3" w:rsidRDefault="00000000">
      <w:pPr>
        <w:spacing w:after="200"/>
      </w:pPr>
      <w:r>
        <w:rPr>
          <w:b/>
          <w:bCs/>
        </w:rPr>
        <w:t xml:space="preserve">1. Mandatory wetting of biochar during storage </w:t>
      </w:r>
      <w:r>
        <w:t>(Section 7.3) eliminates our ability to supply biochar as a coal substitute to industrial kilns—a key offtake pathway—because wet char cannot be combusted and we need to stockpile volumes exceeding a single production period’s output. None of the three comparator protocols prescribes physical storage conditions. This is a non-starter.</w:t>
      </w:r>
    </w:p>
    <w:p w14:paraId="5735A429" w14:textId="77777777" w:rsidR="00E365D3" w:rsidRDefault="00000000">
      <w:pPr>
        <w:spacing w:after="200"/>
      </w:pPr>
      <w:r>
        <w:rPr>
          <w:b/>
          <w:bCs/>
        </w:rPr>
        <w:t xml:space="preserve">2. Geotagged photo essays at three stages for every application event </w:t>
      </w:r>
      <w:r>
        <w:t>(Section 9.5) places a documentation burden on farmers that most do not have the technology or inclination to bear. This is a meaningful blocker to building the distributed offtake relationships required to get biochar on fields at scale. No CCP-approved comparator methodology reviewed here requires this.</w:t>
      </w:r>
    </w:p>
    <w:p w14:paraId="3FE7A4F1" w14:textId="2B46F16A" w:rsidR="00E365D3" w:rsidRDefault="00000000">
      <w:pPr>
        <w:spacing w:after="200"/>
      </w:pPr>
      <w:r>
        <w:rPr>
          <w:b/>
          <w:bCs/>
        </w:rPr>
        <w:t>These are not edge-case concerns. They are fundamental constraints on commercial viability.</w:t>
      </w:r>
    </w:p>
    <w:p w14:paraId="34AF888B" w14:textId="77777777" w:rsidR="00E365D3" w:rsidRDefault="00000000">
      <w:pPr>
        <w:pStyle w:val="Heading1"/>
      </w:pPr>
      <w:r>
        <w:t>Issue 1: Mandatory Wet Storage Is a Non-Starter</w:t>
      </w:r>
    </w:p>
    <w:p w14:paraId="4D1611EA" w14:textId="77777777" w:rsidR="00E365D3" w:rsidRDefault="00000000">
      <w:pPr>
        <w:pStyle w:val="Heading2"/>
      </w:pPr>
      <w:r>
        <w:t>What Isometric requires</w:t>
      </w:r>
    </w:p>
    <w:p w14:paraId="62BA1A8B" w14:textId="77777777" w:rsidR="00E365D3" w:rsidRDefault="00000000">
      <w:pPr>
        <w:spacing w:after="200"/>
      </w:pPr>
      <w:r>
        <w:t>Section 7.3 of Biochar Storage in Soil Environments v1.2 mandates that biochar “must be stored wet or with moist compost, in a covered environment (ideally indoors), away from waterways.” The maximum stockpiling duration is 12 months post-production. All storage details must be documented in the PDD.</w:t>
      </w:r>
    </w:p>
    <w:p w14:paraId="18992CDA" w14:textId="77777777" w:rsidR="00E365D3" w:rsidRDefault="00000000">
      <w:pPr>
        <w:pStyle w:val="Heading2"/>
      </w:pPr>
      <w:r>
        <w:t>Why this blocks our operations</w:t>
      </w:r>
    </w:p>
    <w:p w14:paraId="475A5F51" w14:textId="77777777" w:rsidR="00E365D3" w:rsidRDefault="00000000">
      <w:pPr>
        <w:spacing w:after="200"/>
      </w:pPr>
      <w:r>
        <w:lastRenderedPageBreak/>
        <w:t>Charm is developing offtake pathways where biochar substitutes for coal in industrial kilns (e.g., lime, cement). This is a high-value, high-volume channel that drives both revenue and additional emissions avoidance. The mandatory wetting requirement makes this pathway impossible:</w:t>
      </w:r>
    </w:p>
    <w:p w14:paraId="71078223" w14:textId="77777777" w:rsidR="00E365D3" w:rsidRDefault="00000000">
      <w:pPr>
        <w:pStyle w:val="ListParagraph"/>
        <w:numPr>
          <w:ilvl w:val="0"/>
          <w:numId w:val="2"/>
        </w:numPr>
        <w:spacing w:after="120"/>
      </w:pPr>
      <w:r>
        <w:rPr>
          <w:b/>
          <w:bCs/>
        </w:rPr>
        <w:t xml:space="preserve">Wet biochar cannot be combusted. </w:t>
      </w:r>
      <w:r>
        <w:t>If biochar must be stored wet or with moist compost, any char destined for kiln use would need to be re-dried before delivery—adding cost, energy consumption, and process emissions that undermine the climate benefit. This is not a minor operational inconvenience; it fundamentally breaks the supply chain for this end use.</w:t>
      </w:r>
    </w:p>
    <w:p w14:paraId="48185F24" w14:textId="77777777" w:rsidR="00E365D3" w:rsidRDefault="00000000">
      <w:pPr>
        <w:pStyle w:val="ListParagraph"/>
        <w:numPr>
          <w:ilvl w:val="0"/>
          <w:numId w:val="2"/>
        </w:numPr>
        <w:spacing w:after="200"/>
      </w:pPr>
      <w:r>
        <w:rPr>
          <w:b/>
          <w:bCs/>
        </w:rPr>
        <w:t xml:space="preserve">We need to stockpile beyond a single production run. </w:t>
      </w:r>
      <w:r>
        <w:t>Kiln operators require biochar in volumes that exceed what we can produce in any single production period. Building inventory to meet a large delivery is standard practice in commodity supply chains. Isometric’s requirement that all stored biochar be wet means we cannot accumulate dry char for scheduled industrial deliveries without violating the protocol.</w:t>
      </w:r>
    </w:p>
    <w:p w14:paraId="6A06CD9B" w14:textId="77777777" w:rsidR="00E365D3" w:rsidRDefault="00000000">
      <w:pPr>
        <w:spacing w:after="200"/>
      </w:pPr>
      <w:r>
        <w:t>The combined effect is that a legitimate, high-impact end-use pathway is foreclosed entirely—not because of an integrity concern, but because of a storage condition specification that none of the comparator methodologies considers necessary.</w:t>
      </w:r>
    </w:p>
    <w:p w14:paraId="220A91DF" w14:textId="77777777" w:rsidR="00E365D3" w:rsidRDefault="00000000">
      <w:pPr>
        <w:pStyle w:val="Heading2"/>
      </w:pPr>
      <w:r>
        <w:t>What the comparator protocols require</w:t>
      </w:r>
    </w:p>
    <w:p w14:paraId="0A8AD455" w14:textId="77777777" w:rsidR="00E365D3" w:rsidRDefault="00000000">
      <w:pPr>
        <w:spacing w:after="200"/>
      </w:pPr>
      <w:r>
        <w:t>None of the three prescribes physical storage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90"/>
        <w:gridCol w:w="1890"/>
        <w:gridCol w:w="1890"/>
        <w:gridCol w:w="1890"/>
      </w:tblGrid>
      <w:tr w:rsidR="00E365D3" w14:paraId="083809AF" w14:textId="77777777">
        <w:tblPrEx>
          <w:tblCellMar>
            <w:top w:w="0" w:type="dxa"/>
            <w:bottom w:w="0" w:type="dxa"/>
          </w:tblCellMar>
        </w:tblPrEx>
        <w:tc>
          <w:tcPr>
            <w:tcW w:w="1800" w:type="dxa"/>
            <w:tcBorders>
              <w:top w:val="single" w:sz="1" w:space="0" w:color="2E5C8A"/>
              <w:left w:val="single" w:sz="1" w:space="0" w:color="2E5C8A"/>
              <w:bottom w:val="single" w:sz="1" w:space="0" w:color="2E5C8A"/>
              <w:right w:val="single" w:sz="1" w:space="0" w:color="2E5C8A"/>
            </w:tcBorders>
            <w:shd w:val="clear" w:color="auto" w:fill="2E5C8A"/>
            <w:tcMar>
              <w:top w:w="80" w:type="dxa"/>
              <w:left w:w="120" w:type="dxa"/>
              <w:bottom w:w="80" w:type="dxa"/>
              <w:right w:w="120" w:type="dxa"/>
            </w:tcMar>
            <w:vAlign w:val="center"/>
          </w:tcPr>
          <w:p w14:paraId="0B007CD3" w14:textId="77777777" w:rsidR="00E365D3" w:rsidRDefault="00E365D3"/>
        </w:tc>
        <w:tc>
          <w:tcPr>
            <w:tcW w:w="1890" w:type="dxa"/>
            <w:tcBorders>
              <w:top w:val="single" w:sz="1" w:space="0" w:color="2E5C8A"/>
              <w:left w:val="single" w:sz="1" w:space="0" w:color="2E5C8A"/>
              <w:bottom w:val="single" w:sz="1" w:space="0" w:color="2E5C8A"/>
              <w:right w:val="single" w:sz="1" w:space="0" w:color="2E5C8A"/>
            </w:tcBorders>
            <w:shd w:val="clear" w:color="auto" w:fill="2E5C8A"/>
            <w:tcMar>
              <w:top w:w="80" w:type="dxa"/>
              <w:left w:w="120" w:type="dxa"/>
              <w:bottom w:w="80" w:type="dxa"/>
              <w:right w:w="120" w:type="dxa"/>
            </w:tcMar>
            <w:vAlign w:val="center"/>
          </w:tcPr>
          <w:p w14:paraId="2CC16A1E" w14:textId="77777777" w:rsidR="00E365D3" w:rsidRDefault="00000000">
            <w:r>
              <w:rPr>
                <w:b/>
                <w:bCs/>
                <w:color w:val="FFFFFF"/>
                <w:sz w:val="20"/>
                <w:szCs w:val="20"/>
              </w:rPr>
              <w:t>Isometric v1.2</w:t>
            </w:r>
          </w:p>
        </w:tc>
        <w:tc>
          <w:tcPr>
            <w:tcW w:w="1890" w:type="dxa"/>
            <w:tcBorders>
              <w:top w:val="single" w:sz="1" w:space="0" w:color="2E5C8A"/>
              <w:left w:val="single" w:sz="1" w:space="0" w:color="2E5C8A"/>
              <w:bottom w:val="single" w:sz="1" w:space="0" w:color="2E5C8A"/>
              <w:right w:val="single" w:sz="1" w:space="0" w:color="2E5C8A"/>
            </w:tcBorders>
            <w:shd w:val="clear" w:color="auto" w:fill="2E5C8A"/>
            <w:tcMar>
              <w:top w:w="80" w:type="dxa"/>
              <w:left w:w="120" w:type="dxa"/>
              <w:bottom w:w="80" w:type="dxa"/>
              <w:right w:w="120" w:type="dxa"/>
            </w:tcMar>
            <w:vAlign w:val="center"/>
          </w:tcPr>
          <w:p w14:paraId="1310D4F9" w14:textId="77777777" w:rsidR="00E365D3" w:rsidRDefault="00000000">
            <w:r>
              <w:rPr>
                <w:b/>
                <w:bCs/>
                <w:color w:val="FFFFFF"/>
                <w:sz w:val="20"/>
                <w:szCs w:val="20"/>
              </w:rPr>
              <w:t>Verra VM0044</w:t>
            </w:r>
          </w:p>
        </w:tc>
        <w:tc>
          <w:tcPr>
            <w:tcW w:w="1890" w:type="dxa"/>
            <w:tcBorders>
              <w:top w:val="single" w:sz="1" w:space="0" w:color="2E5C8A"/>
              <w:left w:val="single" w:sz="1" w:space="0" w:color="2E5C8A"/>
              <w:bottom w:val="single" w:sz="1" w:space="0" w:color="2E5C8A"/>
              <w:right w:val="single" w:sz="1" w:space="0" w:color="2E5C8A"/>
            </w:tcBorders>
            <w:shd w:val="clear" w:color="auto" w:fill="2E5C8A"/>
            <w:tcMar>
              <w:top w:w="80" w:type="dxa"/>
              <w:left w:w="120" w:type="dxa"/>
              <w:bottom w:w="80" w:type="dxa"/>
              <w:right w:w="120" w:type="dxa"/>
            </w:tcMar>
            <w:vAlign w:val="center"/>
          </w:tcPr>
          <w:p w14:paraId="07C7004B" w14:textId="77777777" w:rsidR="00E365D3" w:rsidRDefault="00000000">
            <w:r>
              <w:rPr>
                <w:b/>
                <w:bCs/>
                <w:color w:val="FFFFFF"/>
                <w:sz w:val="20"/>
                <w:szCs w:val="20"/>
              </w:rPr>
              <w:t>Rainbow BiCRS</w:t>
            </w:r>
          </w:p>
        </w:tc>
        <w:tc>
          <w:tcPr>
            <w:tcW w:w="1890" w:type="dxa"/>
            <w:tcBorders>
              <w:top w:val="single" w:sz="1" w:space="0" w:color="2E5C8A"/>
              <w:left w:val="single" w:sz="1" w:space="0" w:color="2E5C8A"/>
              <w:bottom w:val="single" w:sz="1" w:space="0" w:color="2E5C8A"/>
              <w:right w:val="single" w:sz="1" w:space="0" w:color="2E5C8A"/>
            </w:tcBorders>
            <w:shd w:val="clear" w:color="auto" w:fill="2E5C8A"/>
            <w:tcMar>
              <w:top w:w="80" w:type="dxa"/>
              <w:left w:w="120" w:type="dxa"/>
              <w:bottom w:w="80" w:type="dxa"/>
              <w:right w:w="120" w:type="dxa"/>
            </w:tcMar>
            <w:vAlign w:val="center"/>
          </w:tcPr>
          <w:p w14:paraId="7862FAAF" w14:textId="77777777" w:rsidR="00E365D3" w:rsidRDefault="00000000">
            <w:r>
              <w:rPr>
                <w:b/>
                <w:bCs/>
                <w:color w:val="FFFFFF"/>
                <w:sz w:val="20"/>
                <w:szCs w:val="20"/>
              </w:rPr>
              <w:t>Puro.earth 2025</w:t>
            </w:r>
          </w:p>
        </w:tc>
      </w:tr>
      <w:tr w:rsidR="00E365D3" w14:paraId="07621D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826A9" w14:textId="77777777" w:rsidR="00E365D3" w:rsidRDefault="00000000">
            <w:pPr>
              <w:spacing w:after="40"/>
            </w:pPr>
            <w:r>
              <w:rPr>
                <w:b/>
                <w:bCs/>
                <w:sz w:val="20"/>
                <w:szCs w:val="20"/>
              </w:rPr>
              <w:t>Max duration</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0020D" w14:textId="77777777" w:rsidR="00E365D3" w:rsidRDefault="00000000">
            <w:pPr>
              <w:spacing w:after="40"/>
            </w:pPr>
            <w:r>
              <w:rPr>
                <w:sz w:val="20"/>
                <w:szCs w:val="20"/>
              </w:rPr>
              <w:t>12 months</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B92B3" w14:textId="77777777" w:rsidR="00E365D3" w:rsidRDefault="00000000">
            <w:pPr>
              <w:spacing w:after="40"/>
            </w:pPr>
            <w:r>
              <w:rPr>
                <w:sz w:val="20"/>
                <w:szCs w:val="20"/>
              </w:rPr>
              <w:t>12 months</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7BF09" w14:textId="77777777" w:rsidR="00E365D3" w:rsidRDefault="00000000">
            <w:pPr>
              <w:spacing w:after="40"/>
            </w:pPr>
            <w:r>
              <w:rPr>
                <w:sz w:val="20"/>
                <w:szCs w:val="20"/>
              </w:rPr>
              <w:t>365 days</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88639" w14:textId="77777777" w:rsidR="00E365D3" w:rsidRDefault="00000000">
            <w:pPr>
              <w:spacing w:after="40"/>
            </w:pPr>
            <w:r>
              <w:rPr>
                <w:sz w:val="20"/>
                <w:szCs w:val="20"/>
              </w:rPr>
              <w:t>Not specified</w:t>
            </w:r>
          </w:p>
        </w:tc>
      </w:tr>
      <w:tr w:rsidR="00E365D3" w14:paraId="06CBEE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096409" w14:textId="77777777" w:rsidR="00E365D3" w:rsidRDefault="00000000">
            <w:pPr>
              <w:spacing w:after="40"/>
            </w:pPr>
            <w:r>
              <w:rPr>
                <w:b/>
                <w:bCs/>
                <w:sz w:val="20"/>
                <w:szCs w:val="20"/>
              </w:rPr>
              <w:t>Physical conditions</w:t>
            </w:r>
          </w:p>
        </w:tc>
        <w:tc>
          <w:tcPr>
            <w:tcW w:w="189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4F9F29" w14:textId="77777777" w:rsidR="00E365D3" w:rsidRDefault="00000000">
            <w:pPr>
              <w:spacing w:after="40"/>
            </w:pPr>
            <w:r>
              <w:rPr>
                <w:b/>
                <w:bCs/>
                <w:color w:val="C0392B"/>
                <w:sz w:val="20"/>
                <w:szCs w:val="20"/>
              </w:rPr>
              <w:t>Wet or moist compost. Covered. Indoors preferred. Away from waterways.</w:t>
            </w:r>
          </w:p>
        </w:tc>
        <w:tc>
          <w:tcPr>
            <w:tcW w:w="189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99C554" w14:textId="77777777" w:rsidR="00E365D3" w:rsidRDefault="00000000">
            <w:pPr>
              <w:spacing w:after="40"/>
            </w:pPr>
            <w:r>
              <w:rPr>
                <w:sz w:val="20"/>
                <w:szCs w:val="20"/>
              </w:rPr>
              <w:t>None specified.</w:t>
            </w:r>
          </w:p>
        </w:tc>
        <w:tc>
          <w:tcPr>
            <w:tcW w:w="189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3414C4" w14:textId="77777777" w:rsidR="00E365D3" w:rsidRDefault="00000000">
            <w:pPr>
              <w:spacing w:after="40"/>
            </w:pPr>
            <w:r>
              <w:rPr>
                <w:sz w:val="20"/>
                <w:szCs w:val="20"/>
              </w:rPr>
              <w:t>None specified.</w:t>
            </w:r>
          </w:p>
        </w:tc>
        <w:tc>
          <w:tcPr>
            <w:tcW w:w="189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0D503C" w14:textId="77777777" w:rsidR="00E365D3" w:rsidRDefault="00000000">
            <w:pPr>
              <w:spacing w:after="40"/>
            </w:pPr>
            <w:r>
              <w:rPr>
                <w:sz w:val="20"/>
                <w:szCs w:val="20"/>
              </w:rPr>
              <w:t>Inventory controls and labeling. No physical conditions.</w:t>
            </w:r>
          </w:p>
        </w:tc>
      </w:tr>
      <w:tr w:rsidR="00E365D3" w14:paraId="1B83E4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67EE5" w14:textId="77777777" w:rsidR="00E365D3" w:rsidRDefault="00000000">
            <w:pPr>
              <w:spacing w:after="40"/>
            </w:pPr>
            <w:r>
              <w:rPr>
                <w:b/>
                <w:bCs/>
                <w:sz w:val="20"/>
                <w:szCs w:val="20"/>
              </w:rPr>
              <w:t>Consequence of exceeding</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EEB8F" w14:textId="77777777" w:rsidR="00E365D3" w:rsidRDefault="00000000">
            <w:pPr>
              <w:spacing w:after="40"/>
            </w:pPr>
            <w:r>
              <w:rPr>
                <w:sz w:val="20"/>
                <w:szCs w:val="20"/>
              </w:rPr>
              <w:t>Non-compliance.</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FBB04" w14:textId="77777777" w:rsidR="00E365D3" w:rsidRDefault="00000000">
            <w:pPr>
              <w:spacing w:after="40"/>
            </w:pPr>
            <w:r>
              <w:rPr>
                <w:sz w:val="20"/>
                <w:szCs w:val="20"/>
              </w:rPr>
              <w:t>Non-compliance.</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68222" w14:textId="77777777" w:rsidR="00E365D3" w:rsidRDefault="00000000">
            <w:pPr>
              <w:spacing w:after="40"/>
            </w:pPr>
            <w:r>
              <w:rPr>
                <w:sz w:val="20"/>
                <w:szCs w:val="20"/>
              </w:rPr>
              <w:t>Material re-batched under new ID; monitoring restarts.</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B51F4" w14:textId="77777777" w:rsidR="00E365D3" w:rsidRDefault="00000000">
            <w:pPr>
              <w:spacing w:after="40"/>
            </w:pPr>
            <w:r>
              <w:rPr>
                <w:sz w:val="20"/>
                <w:szCs w:val="20"/>
              </w:rPr>
              <w:t>N/A</w:t>
            </w:r>
          </w:p>
        </w:tc>
      </w:tr>
      <w:tr w:rsidR="00E365D3" w14:paraId="23A1FD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DCC51D" w14:textId="77777777" w:rsidR="00E365D3" w:rsidRDefault="00000000">
            <w:pPr>
              <w:spacing w:after="40"/>
            </w:pPr>
            <w:r>
              <w:rPr>
                <w:b/>
                <w:bCs/>
                <w:sz w:val="20"/>
                <w:szCs w:val="20"/>
              </w:rPr>
              <w:t>Integrity designation</w:t>
            </w:r>
          </w:p>
        </w:tc>
        <w:tc>
          <w:tcPr>
            <w:tcW w:w="189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82B0A5" w14:textId="77777777" w:rsidR="00E365D3" w:rsidRDefault="00000000">
            <w:pPr>
              <w:spacing w:after="40"/>
            </w:pPr>
            <w:r>
              <w:rPr>
                <w:sz w:val="20"/>
                <w:szCs w:val="20"/>
              </w:rPr>
              <w:t>CCP-Approved (v1.0); Frontier LCI</w:t>
            </w:r>
          </w:p>
        </w:tc>
        <w:tc>
          <w:tcPr>
            <w:tcW w:w="189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BF6BE0" w14:textId="77777777" w:rsidR="00E365D3" w:rsidRDefault="00000000">
            <w:pPr>
              <w:spacing w:after="40"/>
            </w:pPr>
            <w:r>
              <w:rPr>
                <w:sz w:val="20"/>
                <w:szCs w:val="20"/>
              </w:rPr>
              <w:t>CCP-Approved</w:t>
            </w:r>
          </w:p>
        </w:tc>
        <w:tc>
          <w:tcPr>
            <w:tcW w:w="189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9A6A95" w14:textId="77777777" w:rsidR="00E365D3" w:rsidRDefault="00000000">
            <w:pPr>
              <w:spacing w:after="40"/>
            </w:pPr>
            <w:r>
              <w:rPr>
                <w:sz w:val="20"/>
                <w:szCs w:val="20"/>
              </w:rPr>
              <w:t>CCP-Eligible</w:t>
            </w:r>
          </w:p>
        </w:tc>
        <w:tc>
          <w:tcPr>
            <w:tcW w:w="189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F7B9DB" w14:textId="77777777" w:rsidR="00E365D3" w:rsidRDefault="00000000">
            <w:pPr>
              <w:spacing w:after="40"/>
            </w:pPr>
            <w:r>
              <w:rPr>
                <w:sz w:val="20"/>
                <w:szCs w:val="20"/>
              </w:rPr>
              <w:t>CCP-Eligible; Frontier LCI</w:t>
            </w:r>
          </w:p>
        </w:tc>
      </w:tr>
    </w:tbl>
    <w:p w14:paraId="188E682A" w14:textId="77777777" w:rsidR="00E365D3" w:rsidRDefault="00E365D3">
      <w:pPr>
        <w:spacing w:after="120"/>
      </w:pPr>
    </w:p>
    <w:p w14:paraId="2A3EC636" w14:textId="77777777" w:rsidR="00E365D3" w:rsidRDefault="00000000">
      <w:pPr>
        <w:spacing w:after="200"/>
      </w:pPr>
      <w:r>
        <w:t>The intent behind Section 7.3 is to mitigate fire risk from dry biochar stockpiles. That’s a legitimate concern. But all three comparator protocols—including two that are CCP-approved and one endorsed by Frontier—address it by requiring the project developer to manage storage responsibly, not by dictating that the material must be wet. Mandatory wetting is a blunt instrument that forecloses legitimate end-use pathways. A risk-based approach would achieve the same safety objective without eliminating the coal-substitute channel.</w:t>
      </w:r>
    </w:p>
    <w:p w14:paraId="4546CCE0" w14:textId="77777777" w:rsidR="00E365D3" w:rsidRDefault="00000000">
      <w:pPr>
        <w:pStyle w:val="Heading2"/>
      </w:pPr>
      <w:r>
        <w:lastRenderedPageBreak/>
        <w:t>What we’d propose</w:t>
      </w:r>
    </w:p>
    <w:p w14:paraId="482E7D40" w14:textId="77777777" w:rsidR="00E365D3" w:rsidRDefault="00000000">
      <w:pPr>
        <w:spacing w:after="200"/>
      </w:pPr>
      <w:r>
        <w:t>Replace the mandatory wetting requirement with a risk-based storage management plan submitted as part of the PDD. The plan would address fire risk, contamination, and environmental exposure—the same concerns Section 7.3 targets—while allowing dry storage when the biochar is destined for applications where moisture is incompatible. This is the approach used by all three comparator methodologies reviewed here, including both CCP-approved and Frontier-endorsed programs.</w:t>
      </w:r>
    </w:p>
    <w:p w14:paraId="3A87CBDA" w14:textId="77777777" w:rsidR="00E365D3" w:rsidRDefault="00000000">
      <w:r>
        <w:br w:type="page"/>
      </w:r>
    </w:p>
    <w:p w14:paraId="06A44E9A" w14:textId="77777777" w:rsidR="00E365D3" w:rsidRDefault="00000000">
      <w:pPr>
        <w:pStyle w:val="Heading1"/>
      </w:pPr>
      <w:r>
        <w:lastRenderedPageBreak/>
        <w:t>Issue 2: Geotagged Photo Essays Block Farmer Adoption</w:t>
      </w:r>
    </w:p>
    <w:p w14:paraId="68682CB4" w14:textId="77777777" w:rsidR="00E365D3" w:rsidRDefault="00000000">
      <w:pPr>
        <w:pStyle w:val="Heading2"/>
      </w:pPr>
      <w:r>
        <w:t>What Isometric requires</w:t>
      </w:r>
    </w:p>
    <w:p w14:paraId="7F87EF85" w14:textId="77777777" w:rsidR="00E365D3" w:rsidRDefault="00000000">
      <w:pPr>
        <w:spacing w:after="200"/>
      </w:pPr>
      <w:r>
        <w:t xml:space="preserve">Section 9.5 requires geotagged photos or videos at </w:t>
      </w:r>
      <w:r>
        <w:rPr>
          <w:b/>
          <w:bCs/>
        </w:rPr>
        <w:t>three stages per storage batch</w:t>
      </w:r>
      <w:r>
        <w:t xml:space="preserve"> for every direct application event: (1) stockpiles before application, (2) active spreading, and (3) final incorporation into soil. All images must have embedded GPS coordinates and timestamps. Section 9.7 adds further requirements for third-party sales: GPS data from delivery vehicles, geotagged photos at the delivery site, and legally binding affidavits from buyers declaring intended use, geographic boundaries, and 3+ years of active agricultural business. Section 9.10 requires VVBs to verify geotagging metadata, conduct site visits, and interview personnel.</w:t>
      </w:r>
    </w:p>
    <w:p w14:paraId="1CFCC45E" w14:textId="77777777" w:rsidR="00E365D3" w:rsidRDefault="00000000">
      <w:pPr>
        <w:pStyle w:val="Heading2"/>
      </w:pPr>
      <w:r>
        <w:t>Why this blocks our scale-up</w:t>
      </w:r>
    </w:p>
    <w:p w14:paraId="28061827" w14:textId="77777777" w:rsidR="00E365D3" w:rsidRDefault="00000000">
      <w:pPr>
        <w:spacing w:after="200"/>
      </w:pPr>
      <w:r>
        <w:t>Scaling biochar CDR requires getting char on fields through a large, distributed network of agricultural offtakers. The geotagged photo essay requirement puts a meaningful documentation burden on the wrong actor in the supply chain—the farmer.</w:t>
      </w:r>
    </w:p>
    <w:p w14:paraId="0CD94705" w14:textId="530D02CD" w:rsidR="00E365D3" w:rsidRDefault="00000000">
      <w:pPr>
        <w:spacing w:after="200"/>
      </w:pPr>
      <w:r>
        <w:rPr>
          <w:b/>
          <w:bCs/>
        </w:rPr>
        <w:t xml:space="preserve">Many small and mid-size agricultural operations do not have smartphones with reliable GPS, do not have cellular coverage in their fields, and do not have the time or inclination to photograph three stages of biochar application per batch. </w:t>
      </w:r>
      <w:r>
        <w:t>Asking a farmer to create a geotagged photo essay of biochar incorporation is often asking someone who is already stretched thin to adopt a new documentation workflow that delivers zero value to their operation.</w:t>
      </w:r>
    </w:p>
    <w:p w14:paraId="06863CCC" w14:textId="77777777" w:rsidR="00E365D3" w:rsidRDefault="00000000">
      <w:pPr>
        <w:spacing w:after="200"/>
      </w:pPr>
      <w:r>
        <w:t>The practical effect is that farmers decline to participate. Every farmer who says “I’m not doing that” is a lost offtake relationship. At the stage Charm is at—building the initial roster of committed offtakers to demonstrate the viability of the biochar-to-soil pathway—each rejection matters. This requirement is not merely burdensome; it is a structural barrier to the distributed adoption model that biochar CDR depends on.</w:t>
      </w:r>
    </w:p>
    <w:p w14:paraId="66D71781" w14:textId="77777777" w:rsidR="00E365D3" w:rsidRDefault="00000000">
      <w:pPr>
        <w:pStyle w:val="Heading2"/>
      </w:pPr>
      <w:r>
        <w:t>What the comparator protocols require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90"/>
        <w:gridCol w:w="1890"/>
        <w:gridCol w:w="1890"/>
        <w:gridCol w:w="1890"/>
      </w:tblGrid>
      <w:tr w:rsidR="00E365D3" w14:paraId="09B955FE" w14:textId="77777777">
        <w:tblPrEx>
          <w:tblCellMar>
            <w:top w:w="0" w:type="dxa"/>
            <w:bottom w:w="0" w:type="dxa"/>
          </w:tblCellMar>
        </w:tblPrEx>
        <w:tc>
          <w:tcPr>
            <w:tcW w:w="1800" w:type="dxa"/>
            <w:tcBorders>
              <w:top w:val="single" w:sz="1" w:space="0" w:color="2E5C8A"/>
              <w:left w:val="single" w:sz="1" w:space="0" w:color="2E5C8A"/>
              <w:bottom w:val="single" w:sz="1" w:space="0" w:color="2E5C8A"/>
              <w:right w:val="single" w:sz="1" w:space="0" w:color="2E5C8A"/>
            </w:tcBorders>
            <w:shd w:val="clear" w:color="auto" w:fill="2E5C8A"/>
            <w:tcMar>
              <w:top w:w="80" w:type="dxa"/>
              <w:left w:w="120" w:type="dxa"/>
              <w:bottom w:w="80" w:type="dxa"/>
              <w:right w:w="120" w:type="dxa"/>
            </w:tcMar>
            <w:vAlign w:val="center"/>
          </w:tcPr>
          <w:p w14:paraId="64AD8EF2" w14:textId="77777777" w:rsidR="00E365D3" w:rsidRDefault="00E365D3"/>
        </w:tc>
        <w:tc>
          <w:tcPr>
            <w:tcW w:w="1890" w:type="dxa"/>
            <w:tcBorders>
              <w:top w:val="single" w:sz="1" w:space="0" w:color="2E5C8A"/>
              <w:left w:val="single" w:sz="1" w:space="0" w:color="2E5C8A"/>
              <w:bottom w:val="single" w:sz="1" w:space="0" w:color="2E5C8A"/>
              <w:right w:val="single" w:sz="1" w:space="0" w:color="2E5C8A"/>
            </w:tcBorders>
            <w:shd w:val="clear" w:color="auto" w:fill="2E5C8A"/>
            <w:tcMar>
              <w:top w:w="80" w:type="dxa"/>
              <w:left w:w="120" w:type="dxa"/>
              <w:bottom w:w="80" w:type="dxa"/>
              <w:right w:w="120" w:type="dxa"/>
            </w:tcMar>
            <w:vAlign w:val="center"/>
          </w:tcPr>
          <w:p w14:paraId="7151C702" w14:textId="77777777" w:rsidR="00E365D3" w:rsidRDefault="00000000">
            <w:r>
              <w:rPr>
                <w:b/>
                <w:bCs/>
                <w:color w:val="FFFFFF"/>
                <w:sz w:val="20"/>
                <w:szCs w:val="20"/>
              </w:rPr>
              <w:t>Isometric v1.2</w:t>
            </w:r>
          </w:p>
        </w:tc>
        <w:tc>
          <w:tcPr>
            <w:tcW w:w="1890" w:type="dxa"/>
            <w:tcBorders>
              <w:top w:val="single" w:sz="1" w:space="0" w:color="2E5C8A"/>
              <w:left w:val="single" w:sz="1" w:space="0" w:color="2E5C8A"/>
              <w:bottom w:val="single" w:sz="1" w:space="0" w:color="2E5C8A"/>
              <w:right w:val="single" w:sz="1" w:space="0" w:color="2E5C8A"/>
            </w:tcBorders>
            <w:shd w:val="clear" w:color="auto" w:fill="2E5C8A"/>
            <w:tcMar>
              <w:top w:w="80" w:type="dxa"/>
              <w:left w:w="120" w:type="dxa"/>
              <w:bottom w:w="80" w:type="dxa"/>
              <w:right w:w="120" w:type="dxa"/>
            </w:tcMar>
            <w:vAlign w:val="center"/>
          </w:tcPr>
          <w:p w14:paraId="694C838C" w14:textId="77777777" w:rsidR="00E365D3" w:rsidRDefault="00000000">
            <w:r>
              <w:rPr>
                <w:b/>
                <w:bCs/>
                <w:color w:val="FFFFFF"/>
                <w:sz w:val="20"/>
                <w:szCs w:val="20"/>
              </w:rPr>
              <w:t>Verra VM0044</w:t>
            </w:r>
          </w:p>
        </w:tc>
        <w:tc>
          <w:tcPr>
            <w:tcW w:w="1890" w:type="dxa"/>
            <w:tcBorders>
              <w:top w:val="single" w:sz="1" w:space="0" w:color="2E5C8A"/>
              <w:left w:val="single" w:sz="1" w:space="0" w:color="2E5C8A"/>
              <w:bottom w:val="single" w:sz="1" w:space="0" w:color="2E5C8A"/>
              <w:right w:val="single" w:sz="1" w:space="0" w:color="2E5C8A"/>
            </w:tcBorders>
            <w:shd w:val="clear" w:color="auto" w:fill="2E5C8A"/>
            <w:tcMar>
              <w:top w:w="80" w:type="dxa"/>
              <w:left w:w="120" w:type="dxa"/>
              <w:bottom w:w="80" w:type="dxa"/>
              <w:right w:w="120" w:type="dxa"/>
            </w:tcMar>
            <w:vAlign w:val="center"/>
          </w:tcPr>
          <w:p w14:paraId="375F7A63" w14:textId="77777777" w:rsidR="00E365D3" w:rsidRDefault="00000000">
            <w:r>
              <w:rPr>
                <w:b/>
                <w:bCs/>
                <w:color w:val="FFFFFF"/>
                <w:sz w:val="20"/>
                <w:szCs w:val="20"/>
              </w:rPr>
              <w:t>Rainbow BiCRS</w:t>
            </w:r>
          </w:p>
        </w:tc>
        <w:tc>
          <w:tcPr>
            <w:tcW w:w="1890" w:type="dxa"/>
            <w:tcBorders>
              <w:top w:val="single" w:sz="1" w:space="0" w:color="2E5C8A"/>
              <w:left w:val="single" w:sz="1" w:space="0" w:color="2E5C8A"/>
              <w:bottom w:val="single" w:sz="1" w:space="0" w:color="2E5C8A"/>
              <w:right w:val="single" w:sz="1" w:space="0" w:color="2E5C8A"/>
            </w:tcBorders>
            <w:shd w:val="clear" w:color="auto" w:fill="2E5C8A"/>
            <w:tcMar>
              <w:top w:w="80" w:type="dxa"/>
              <w:left w:w="120" w:type="dxa"/>
              <w:bottom w:w="80" w:type="dxa"/>
              <w:right w:w="120" w:type="dxa"/>
            </w:tcMar>
            <w:vAlign w:val="center"/>
          </w:tcPr>
          <w:p w14:paraId="64E6EA59" w14:textId="77777777" w:rsidR="00E365D3" w:rsidRDefault="00000000">
            <w:r>
              <w:rPr>
                <w:b/>
                <w:bCs/>
                <w:color w:val="FFFFFF"/>
                <w:sz w:val="20"/>
                <w:szCs w:val="20"/>
              </w:rPr>
              <w:t>Puro.earth 2025</w:t>
            </w:r>
          </w:p>
        </w:tc>
      </w:tr>
      <w:tr w:rsidR="00E365D3" w14:paraId="094778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495D7" w14:textId="77777777" w:rsidR="00E365D3" w:rsidRDefault="00000000">
            <w:pPr>
              <w:spacing w:after="40"/>
            </w:pPr>
            <w:r>
              <w:rPr>
                <w:b/>
                <w:bCs/>
                <w:sz w:val="20"/>
                <w:szCs w:val="20"/>
              </w:rPr>
              <w:t>Photo evidence</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52528" w14:textId="77777777" w:rsidR="00E365D3" w:rsidRDefault="00000000">
            <w:pPr>
              <w:spacing w:after="40"/>
            </w:pPr>
            <w:r>
              <w:rPr>
                <w:b/>
                <w:bCs/>
                <w:color w:val="C0392B"/>
                <w:sz w:val="20"/>
                <w:szCs w:val="20"/>
              </w:rPr>
              <w:t>Geotagged photos at THREE stages per batch. Embedded GPS + timestamps.</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F5762" w14:textId="77777777" w:rsidR="00E365D3" w:rsidRDefault="00000000">
            <w:pPr>
              <w:spacing w:after="40"/>
            </w:pPr>
            <w:r>
              <w:rPr>
                <w:sz w:val="20"/>
                <w:szCs w:val="20"/>
              </w:rPr>
              <w:t>Not required. One geodetic coordinate per application.</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81AFF" w14:textId="77777777" w:rsidR="00E365D3" w:rsidRDefault="00000000">
            <w:pPr>
              <w:spacing w:after="40"/>
            </w:pPr>
            <w:r>
              <w:rPr>
                <w:sz w:val="20"/>
                <w:szCs w:val="20"/>
              </w:rPr>
              <w:t>Photo diary required. GPS coords required if known to Project Developer.</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0A504" w14:textId="77777777" w:rsidR="00E365D3" w:rsidRDefault="00000000">
            <w:pPr>
              <w:spacing w:after="40"/>
            </w:pPr>
            <w:r>
              <w:rPr>
                <w:sz w:val="20"/>
                <w:szCs w:val="20"/>
              </w:rPr>
              <w:t>Geotagged photos one of five evidence options (§3.6.5b). Format flexible.</w:t>
            </w:r>
          </w:p>
        </w:tc>
      </w:tr>
      <w:tr w:rsidR="00E365D3" w14:paraId="4DFBCC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E1C043" w14:textId="77777777" w:rsidR="00E365D3" w:rsidRDefault="00000000">
            <w:pPr>
              <w:spacing w:after="40"/>
            </w:pPr>
            <w:r>
              <w:rPr>
                <w:b/>
                <w:bCs/>
                <w:sz w:val="20"/>
                <w:szCs w:val="20"/>
              </w:rPr>
              <w:t>GPS vehicle tracking</w:t>
            </w:r>
          </w:p>
        </w:tc>
        <w:tc>
          <w:tcPr>
            <w:tcW w:w="189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998576" w14:textId="77777777" w:rsidR="00E365D3" w:rsidRDefault="00000000">
            <w:pPr>
              <w:spacing w:after="40"/>
            </w:pPr>
            <w:r>
              <w:rPr>
                <w:b/>
                <w:bCs/>
                <w:color w:val="C0392B"/>
                <w:sz w:val="20"/>
                <w:szCs w:val="20"/>
              </w:rPr>
              <w:t>Required for third-party deliveries.</w:t>
            </w:r>
          </w:p>
        </w:tc>
        <w:tc>
          <w:tcPr>
            <w:tcW w:w="189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A1BF67" w14:textId="77777777" w:rsidR="00E365D3" w:rsidRDefault="00000000">
            <w:pPr>
              <w:spacing w:after="40"/>
            </w:pPr>
            <w:r>
              <w:rPr>
                <w:sz w:val="20"/>
                <w:szCs w:val="20"/>
              </w:rPr>
              <w:t>Not required.</w:t>
            </w:r>
          </w:p>
        </w:tc>
        <w:tc>
          <w:tcPr>
            <w:tcW w:w="189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38D3D2" w14:textId="77777777" w:rsidR="00E365D3" w:rsidRDefault="00000000">
            <w:pPr>
              <w:spacing w:after="40"/>
            </w:pPr>
            <w:r>
              <w:rPr>
                <w:sz w:val="20"/>
                <w:szCs w:val="20"/>
              </w:rPr>
              <w:t>Not required.</w:t>
            </w:r>
          </w:p>
        </w:tc>
        <w:tc>
          <w:tcPr>
            <w:tcW w:w="189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22ED70" w14:textId="77777777" w:rsidR="00E365D3" w:rsidRDefault="00000000">
            <w:pPr>
              <w:spacing w:after="40"/>
            </w:pPr>
            <w:r>
              <w:rPr>
                <w:sz w:val="20"/>
                <w:szCs w:val="20"/>
              </w:rPr>
              <w:t>Not required.</w:t>
            </w:r>
          </w:p>
        </w:tc>
      </w:tr>
      <w:tr w:rsidR="00E365D3" w14:paraId="50E8D6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DFDD7" w14:textId="77777777" w:rsidR="00E365D3" w:rsidRDefault="00000000">
            <w:pPr>
              <w:spacing w:after="40"/>
            </w:pPr>
            <w:r>
              <w:rPr>
                <w:b/>
                <w:bCs/>
                <w:sz w:val="20"/>
                <w:szCs w:val="20"/>
              </w:rPr>
              <w:t>Affidavits from buyers</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0019C" w14:textId="77777777" w:rsidR="00E365D3" w:rsidRDefault="00000000">
            <w:pPr>
              <w:spacing w:after="40"/>
            </w:pPr>
            <w:r>
              <w:rPr>
                <w:b/>
                <w:bCs/>
                <w:color w:val="C0392B"/>
                <w:sz w:val="20"/>
                <w:szCs w:val="20"/>
              </w:rPr>
              <w:t xml:space="preserve">Legally binding. Must declare intended use, boundaries, 3+ </w:t>
              <w:lastRenderedPageBreak/>
              <w:t>yr business history.</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ABC13" w14:textId="77777777" w:rsidR="00E365D3" w:rsidRDefault="00000000">
            <w:pPr>
              <w:spacing w:after="40"/>
            </w:pPr>
            <w:r>
              <w:rPr>
                <w:sz w:val="20"/>
                <w:szCs w:val="20"/>
              </w:rPr>
              <w:lastRenderedPageBreak/>
              <w:t>Not required.</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E0F39" w14:textId="77777777" w:rsidR="00E365D3" w:rsidRDefault="00000000">
            <w:pPr>
              <w:spacing w:after="40"/>
            </w:pPr>
            <w:r>
              <w:rPr>
                <w:sz w:val="20"/>
                <w:szCs w:val="20"/>
              </w:rPr>
              <w:t>Signed agreements on credit ownership only.</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AF43D" w14:textId="77777777" w:rsidR="00E365D3" w:rsidRDefault="00000000">
            <w:pPr>
              <w:spacing w:after="40"/>
            </w:pPr>
            <w:r>
              <w:rPr>
                <w:sz w:val="20"/>
                <w:szCs w:val="20"/>
              </w:rPr>
              <w:t>Not required.</w:t>
            </w:r>
          </w:p>
        </w:tc>
      </w:tr>
      <w:tr w:rsidR="00E365D3" w14:paraId="211872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6691FF" w14:textId="77777777" w:rsidR="00E365D3" w:rsidRDefault="00000000">
            <w:pPr>
              <w:spacing w:after="40"/>
            </w:pPr>
            <w:r>
              <w:rPr>
                <w:b/>
                <w:bCs/>
                <w:sz w:val="20"/>
                <w:szCs w:val="20"/>
              </w:rPr>
              <w:t>Verification</w:t>
            </w:r>
          </w:p>
        </w:tc>
        <w:tc>
          <w:tcPr>
            <w:tcW w:w="189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FBAEDD" w14:textId="77777777" w:rsidR="00E365D3" w:rsidRDefault="00000000">
            <w:pPr>
              <w:spacing w:after="40"/>
            </w:pPr>
            <w:r>
              <w:rPr>
                <w:sz w:val="20"/>
                <w:szCs w:val="20"/>
              </w:rPr>
              <w:t>VVB verifies geotagging metadata, site visits, personnel interviews.</w:t>
            </w:r>
          </w:p>
        </w:tc>
        <w:tc>
          <w:tcPr>
            <w:tcW w:w="189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703C37" w14:textId="77777777" w:rsidR="00E365D3" w:rsidRDefault="00000000">
            <w:pPr>
              <w:spacing w:after="40"/>
            </w:pPr>
            <w:r>
              <w:rPr>
                <w:sz w:val="20"/>
                <w:szCs w:val="20"/>
              </w:rPr>
              <w:t>Outcomes-based. Developer chooses tools: QR, blockchain, GPS, apps, etc.</w:t>
            </w:r>
          </w:p>
        </w:tc>
        <w:tc>
          <w:tcPr>
            <w:tcW w:w="189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C2BB10" w14:textId="77777777" w:rsidR="00E365D3" w:rsidRDefault="00000000">
            <w:pPr>
              <w:spacing w:after="40"/>
            </w:pPr>
            <w:r>
              <w:rPr>
                <w:sz w:val="20"/>
                <w:szCs w:val="20"/>
              </w:rPr>
              <w:t>VVB random checks via buyer contact info.</w:t>
            </w:r>
          </w:p>
        </w:tc>
        <w:tc>
          <w:tcPr>
            <w:tcW w:w="189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8F0751" w14:textId="77777777" w:rsidR="00E365D3" w:rsidRDefault="00000000">
            <w:pPr>
              <w:spacing w:after="40"/>
            </w:pPr>
            <w:r>
              <w:rPr>
                <w:sz w:val="20"/>
                <w:szCs w:val="20"/>
              </w:rPr>
              <w:t>Auditor access to all records.</w:t>
            </w:r>
          </w:p>
        </w:tc>
      </w:tr>
      <w:tr w:rsidR="00E365D3" w14:paraId="644C99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36765" w14:textId="77777777" w:rsidR="00E365D3" w:rsidRDefault="00000000">
            <w:pPr>
              <w:spacing w:after="40"/>
            </w:pPr>
            <w:r>
              <w:rPr>
                <w:b/>
                <w:bCs/>
                <w:sz w:val="20"/>
                <w:szCs w:val="20"/>
              </w:rPr>
              <w:t>Integrity designation</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26CB3" w14:textId="77777777" w:rsidR="00E365D3" w:rsidRDefault="00000000">
            <w:pPr>
              <w:spacing w:after="40"/>
            </w:pPr>
            <w:r>
              <w:rPr>
                <w:sz w:val="20"/>
                <w:szCs w:val="20"/>
              </w:rPr>
              <w:t>CCP-Approved (v1.0); Frontier LCI</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0F528" w14:textId="77777777" w:rsidR="00E365D3" w:rsidRDefault="00000000">
            <w:pPr>
              <w:spacing w:after="40"/>
            </w:pPr>
            <w:r>
              <w:rPr>
                <w:sz w:val="20"/>
                <w:szCs w:val="20"/>
              </w:rPr>
              <w:t>CCP-Approved</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9C91C" w14:textId="77777777" w:rsidR="00E365D3" w:rsidRDefault="00000000">
            <w:pPr>
              <w:spacing w:after="40"/>
            </w:pPr>
            <w:r>
              <w:rPr>
                <w:sz w:val="20"/>
                <w:szCs w:val="20"/>
              </w:rPr>
              <w:t>CCP-Eligible</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51F3F" w14:textId="77777777" w:rsidR="00E365D3" w:rsidRDefault="00000000">
            <w:pPr>
              <w:spacing w:after="40"/>
            </w:pPr>
            <w:r>
              <w:rPr>
                <w:sz w:val="20"/>
                <w:szCs w:val="20"/>
              </w:rPr>
              <w:t>CCP-Eligible; Frontier LCI</w:t>
            </w:r>
          </w:p>
        </w:tc>
      </w:tr>
    </w:tbl>
    <w:p w14:paraId="699DB674" w14:textId="77777777" w:rsidR="00E365D3" w:rsidRDefault="00E365D3">
      <w:pPr>
        <w:spacing w:after="120"/>
      </w:pPr>
    </w:p>
    <w:p w14:paraId="626D6F2F" w14:textId="77777777" w:rsidR="00E365D3" w:rsidRDefault="00000000">
      <w:pPr>
        <w:spacing w:after="200"/>
      </w:pPr>
      <w:r>
        <w:t>The contrast with CCP-approved practice is stark. Verra VM0044 Section 9.3 explicitly lists “tracking records, mobile or desktop applications, QR code, blockchain technology, non-fungible token (NFT), GPS use-location coordinates, or any other tracking software” as acceptable verification tools—and received CCP approval with this language. Rainbow requires a photo diary and GPS coordinates if known to the Project Developer, plus buyer contact information for VVB random checks—but no affidavits, multi-stage photography, or GPS vehicle tracking. Puro’s methodology—which satisfied both the ICVCM and Frontier’s buyer consortium—lists geotagged photos as one of five acceptable evidence options (§3.6.5b), not a standalone requirement. Across these three comparators, the pattern is consistent: outcomes-based verification is sufficient for high-integrity biochar crediting.</w:t>
      </w:r>
    </w:p>
    <w:p w14:paraId="1B4F3F42" w14:textId="77777777" w:rsidR="00E365D3" w:rsidRDefault="00000000">
      <w:pPr>
        <w:pStyle w:val="Heading2"/>
      </w:pPr>
      <w:r>
        <w:t>What we’d propose</w:t>
      </w:r>
    </w:p>
    <w:p w14:paraId="4A3A9101" w14:textId="77777777" w:rsidR="00E365D3" w:rsidRDefault="00000000">
      <w:pPr>
        <w:spacing w:after="200"/>
      </w:pPr>
      <w:r>
        <w:t xml:space="preserve">Replace the three-stage geotagged photo requirement and the affidavit/business-history requirements with a simpler, commercially standard approach: </w:t>
      </w:r>
      <w:r>
        <w:rPr>
          <w:b/>
          <w:bCs/>
        </w:rPr>
        <w:t>delivery receipts and signed sales agreements from offtakers acknowledging the end use of the biochar.</w:t>
      </w:r>
      <w:r>
        <w:t xml:space="preserve"> This is the documentation that already exists in normal commercial transactions between a biochar producer and agricultural buyers. It is auditable, batch-linked, and provides the VVB with the traceability needed to verify that biochar reached its declared end use.</w:t>
      </w:r>
    </w:p>
    <w:p w14:paraId="43D9BEE3" w14:textId="77777777" w:rsidR="00E365D3" w:rsidRDefault="00000000">
      <w:pPr>
        <w:spacing w:after="200"/>
      </w:pPr>
      <w:r>
        <w:t>Charm already maintains signed offtake agreements with buyers that specify end use. These are real commercial relationships with real documentation. What we are objecting to is the requirement to layer on top of that a geotagged photographic record and legally binding affidavits—evidence formats that none of the comparator methodologies considers necessary, and that actively deter the farmer participation we need to scale.</w:t>
      </w:r>
    </w:p>
    <w:p w14:paraId="137CD70B" w14:textId="77777777" w:rsidR="00E365D3" w:rsidRDefault="00000000">
      <w:r>
        <w:br w:type="page"/>
      </w:r>
    </w:p>
    <w:p w14:paraId="37528CE6" w14:textId="77777777" w:rsidR="00E365D3" w:rsidRDefault="00000000">
      <w:pPr>
        <w:pStyle w:val="Heading1"/>
      </w:pPr>
      <w:r>
        <w:lastRenderedPageBreak/>
        <w:t>The Ask</w:t>
      </w:r>
    </w:p>
    <w:p w14:paraId="74F42D77" w14:textId="77777777" w:rsidR="00E365D3" w:rsidRDefault="00000000">
      <w:pPr>
        <w:spacing w:after="200"/>
      </w:pPr>
      <w:r>
        <w:t>We are asking Isometric to bring two requirements into line with what the three leading comparator methodologies consider sufficient:</w:t>
      </w:r>
    </w:p>
    <w:p w14:paraId="56812D3C" w14:textId="77777777" w:rsidR="00E365D3" w:rsidRDefault="00000000">
      <w:pPr>
        <w:pStyle w:val="ListParagraph"/>
        <w:numPr>
          <w:ilvl w:val="0"/>
          <w:numId w:val="2"/>
        </w:numPr>
        <w:spacing w:after="120"/>
      </w:pPr>
      <w:r>
        <w:rPr>
          <w:b/>
          <w:bCs/>
        </w:rPr>
        <w:t xml:space="preserve">Replace mandatory wet storage with a risk-based storage management plan, </w:t>
      </w:r>
      <w:r>
        <w:t>preserving the fire-safety intent of Section 7.3 while allowing dry storage for end uses where moisture is incompatible.</w:t>
      </w:r>
    </w:p>
    <w:p w14:paraId="34B12C24" w14:textId="77777777" w:rsidR="00E365D3" w:rsidRDefault="00000000">
      <w:pPr>
        <w:pStyle w:val="ListParagraph"/>
        <w:numPr>
          <w:ilvl w:val="0"/>
          <w:numId w:val="2"/>
        </w:numPr>
        <w:spacing w:after="200"/>
      </w:pPr>
      <w:r>
        <w:rPr>
          <w:b/>
          <w:bCs/>
        </w:rPr>
        <w:t xml:space="preserve">Replace the three-stage geotagged photo and affidavit requirements with delivery receipts and signed offtaker confirmation of end use, </w:t>
      </w:r>
      <w:r>
        <w:t>preserving the traceability intent of Section 9.5 through commercially standard documentation that is already part of our offtake relationships.</w:t>
      </w:r>
    </w:p>
    <w:p w14:paraId="0BF736A6" w14:textId="77777777" w:rsidR="00E365D3" w:rsidRDefault="00000000">
      <w:pPr>
        <w:spacing w:after="200"/>
      </w:pPr>
      <w:r>
        <w:t>Neither change would reduce the integrity of the Isometric standard. Both would align Isometric’s v1.2 storage module with the verification approaches that the ICVCM has already deemed sufficient for CCP labeling—including Isometric’s own v1.0, which was CCP-approved without these requirements—and with the standards that Frontier’s buyer consortium has endorsed.</w:t>
      </w:r>
    </w:p>
    <w:p w14:paraId="25F8426B" w14:textId="77777777" w:rsidR="00E365D3" w:rsidRDefault="00000000">
      <w:pPr>
        <w:pStyle w:val="Heading2"/>
      </w:pPr>
      <w:r>
        <w:t>Why this matters commercially</w:t>
      </w:r>
    </w:p>
    <w:p w14:paraId="4018BA9E" w14:textId="77777777" w:rsidR="00E365D3" w:rsidRDefault="00000000">
      <w:pPr>
        <w:spacing w:after="200"/>
      </w:pPr>
      <w:r>
        <w:t>We raise these issues not as abstract protocol feedback but as a concrete assessment of commercial viability. In a market where project developers choose between registries, the cost of compliance is a competitive variable. Requirements that are materially more burdensome than CCP-approved alternatives—with no corresponding integrity benefit that would command a price premium—make Isometric-credited biochar projects less commercially viable than equivalent projects crediting under Verra or CAR.</w:t>
      </w:r>
    </w:p>
    <w:p w14:paraId="0FBC1EA3" w14:textId="77777777" w:rsidR="00E365D3" w:rsidRDefault="00000000">
      <w:pPr>
        <w:spacing w:after="200"/>
      </w:pPr>
      <w:r>
        <w:t>This is not a theoretical concern. The wet storage requirement eliminates an entire offtake channel. The geotagged photo requirement shrinks our addressable farmer base. Both increase compliance cost and slow time-to-revenue. None of these constraints translate into a higher credit price, because the integrity signal is equivalent across CCP-approved programs. The net effect is that Isometric’s v1.2 storage module, as written, makes it harder for projects to function—not harder to cheat.</w:t>
      </w:r>
    </w:p>
    <w:p w14:paraId="3EF00185" w14:textId="77777777" w:rsidR="00E365D3" w:rsidRDefault="00000000">
      <w:pPr>
        <w:spacing w:after="200"/>
      </w:pPr>
      <w:r>
        <w:t>We value our relationship with Isometric and want to continue crediting with this program. But we also have an obligation to our stakeholders to flag requirements that create material commercial disadvantage with no offsetting integrity benefit. These two requirements do exactly that, and we believe addressing them would strengthen Isometric’s position in a competitive market while preserving everything that makes the standard credible.</w:t>
      </w:r>
    </w:p>
    <w:p w14:paraId="18772EE6" w14:textId="77777777" w:rsidR="00E365D3" w:rsidRDefault="00E365D3">
      <w:pPr>
        <w:pBdr>
          <w:top w:val="single" w:sz="4" w:space="8" w:color="CCCCCC"/>
        </w:pBdr>
        <w:spacing w:before="400"/>
      </w:pPr>
    </w:p>
    <w:p w14:paraId="2F4EF064" w14:textId="77777777" w:rsidR="00E365D3" w:rsidRDefault="00000000">
      <w:pPr>
        <w:pStyle w:val="Heading2"/>
      </w:pPr>
      <w:r>
        <w:t>Sources</w:t>
      </w:r>
    </w:p>
    <w:p w14:paraId="02690712" w14:textId="77777777" w:rsidR="00E365D3" w:rsidRDefault="00000000">
      <w:pPr>
        <w:spacing w:after="60"/>
      </w:pPr>
      <w:r>
        <w:rPr>
          <w:color w:val="666666"/>
          <w:sz w:val="20"/>
          <w:szCs w:val="20"/>
        </w:rPr>
        <w:t>Isometric, Biochar Storage in Soil Environments v1.2 — Sections 7.3, 9.5, 9.7, 9.9, 9.10</w:t>
      </w:r>
    </w:p>
    <w:p w14:paraId="1240EFBF" w14:textId="77777777" w:rsidR="00E365D3" w:rsidRDefault="00000000">
      <w:pPr>
        <w:spacing w:after="60"/>
      </w:pPr>
      <w:r>
        <w:rPr>
          <w:color w:val="666666"/>
          <w:sz w:val="20"/>
          <w:szCs w:val="20"/>
        </w:rPr>
        <w:lastRenderedPageBreak/>
        <w:t>Verra, VM0044 Methodology for Biochar Utilization in Soil and Non-Soil Applications v1.2 — Sections 4(9), 8.4, 9.3  [CCP-Approved]</w:t>
      </w:r>
    </w:p>
    <w:p w14:paraId="603A1A53" w14:textId="77777777" w:rsidR="00E365D3" w:rsidRDefault="00000000">
      <w:pPr>
        <w:spacing w:after="60"/>
      </w:pPr>
      <w:r>
        <w:rPr>
          <w:color w:val="666666"/>
          <w:sz w:val="20"/>
          <w:szCs w:val="20"/>
        </w:rPr>
        <w:t>Rainbow Standard, BiCRS Methodology v1.1 + Biochar Application to Soils Module v2.3  [CCP-Eligible]</w:t>
      </w:r>
    </w:p>
    <w:p w14:paraId="3010CBE1" w14:textId="77777777" w:rsidR="00E365D3" w:rsidRDefault="00000000">
      <w:pPr>
        <w:spacing w:after="60"/>
      </w:pPr>
      <w:r>
        <w:rPr>
          <w:color w:val="666666"/>
          <w:sz w:val="20"/>
          <w:szCs w:val="20"/>
        </w:rPr>
        <w:t>Puro.earth, Biochar Methodology for CO2 Removal, Edition 2025 v1  [CCP-Eligible; Frontier Leading Credit Issuer]</w:t>
      </w:r>
    </w:p>
    <w:p w14:paraId="0F6A3588" w14:textId="77777777" w:rsidR="00E365D3" w:rsidRDefault="00000000">
      <w:pPr>
        <w:spacing w:after="60"/>
      </w:pPr>
      <w:r>
        <w:rPr>
          <w:color w:val="666666"/>
          <w:sz w:val="20"/>
          <w:szCs w:val="20"/>
        </w:rPr>
        <w:t>ICVCM, “Integrity Council approves Biochar &amp; IFM methodologies” (2025) — CCP approval of Isometric v1.0, Verra VM0044 v1.2, CAR Biochar v1.0</w:t>
      </w:r>
    </w:p>
    <w:p w14:paraId="78945E1F" w14:textId="77777777" w:rsidR="00E365D3" w:rsidRDefault="00000000">
      <w:pPr>
        <w:spacing w:after="60"/>
      </w:pPr>
      <w:r>
        <w:rPr>
          <w:color w:val="666666"/>
          <w:sz w:val="20"/>
          <w:szCs w:val="20"/>
        </w:rPr>
        <w:t>ICVCM, “Integrity Council confirms the program Rainbow as CCP-Eligible” (2025)</w:t>
      </w:r>
    </w:p>
    <w:p w14:paraId="6EEBC28C" w14:textId="77777777" w:rsidR="00E365D3" w:rsidRDefault="00000000">
      <w:pPr>
        <w:spacing w:after="60"/>
      </w:pPr>
      <w:r>
        <w:rPr>
          <w:color w:val="666666"/>
          <w:sz w:val="20"/>
          <w:szCs w:val="20"/>
        </w:rPr>
        <w:t>Puro.earth, “Puro.earth Designated as a Leading Credit Issuer by Frontier” (April 2025)</w:t>
      </w:r>
    </w:p>
    <w:p w14:paraId="6593554A" w14:textId="77777777" w:rsidR="00E365D3" w:rsidRDefault="00000000">
      <w:pPr>
        <w:spacing w:after="60"/>
      </w:pPr>
      <w:r>
        <w:rPr>
          <w:color w:val="666666"/>
          <w:sz w:val="20"/>
          <w:szCs w:val="20"/>
        </w:rPr>
        <w:t>Isometric, “Isometric designated as a Leading Credit Issuer by Frontier” (September 2024)</w:t>
      </w:r>
    </w:p>
    <w:sectPr w:rsidR="00E365D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691B5" w14:textId="77777777" w:rsidR="00E25DCE" w:rsidRDefault="00E25DCE">
      <w:r>
        <w:separator/>
      </w:r>
    </w:p>
  </w:endnote>
  <w:endnote w:type="continuationSeparator" w:id="0">
    <w:p w14:paraId="41460A11" w14:textId="77777777" w:rsidR="00E25DCE" w:rsidRDefault="00E25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7406F" w14:textId="77777777" w:rsidR="00E365D3" w:rsidRDefault="00000000">
    <w:pPr>
      <w:pBdr>
        <w:top w:val="single" w:sz="4" w:space="4" w:color="CCCCCC"/>
      </w:pBd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8E24C1">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BE36D" w14:textId="77777777" w:rsidR="00E25DCE" w:rsidRDefault="00E25DCE">
      <w:r>
        <w:separator/>
      </w:r>
    </w:p>
  </w:footnote>
  <w:footnote w:type="continuationSeparator" w:id="0">
    <w:p w14:paraId="1857702E" w14:textId="77777777" w:rsidR="00E25DCE" w:rsidRDefault="00E25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F0A1" w14:textId="77777777" w:rsidR="00E365D3" w:rsidRDefault="00000000">
    <w:pPr>
      <w:pBdr>
        <w:bottom w:val="single" w:sz="4" w:space="4" w:color="CCCCCC"/>
      </w:pBdr>
      <w:tabs>
        <w:tab w:val="right" w:pos="9026"/>
      </w:tabs>
    </w:pPr>
    <w:r>
      <w:rPr>
        <w:color w:val="999999"/>
        <w:sz w:val="16"/>
        <w:szCs w:val="16"/>
      </w:rPr>
      <w:t>CHARM INDUSTRIAL</w:t>
    </w:r>
    <w:r>
      <w:rPr>
        <w:color w:val="999999"/>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1069D"/>
    <w:multiLevelType w:val="hybridMultilevel"/>
    <w:tmpl w:val="A9E2F1BA"/>
    <w:lvl w:ilvl="0" w:tplc="1E863C0E">
      <w:start w:val="1"/>
      <w:numFmt w:val="bullet"/>
      <w:lvlText w:val="•"/>
      <w:lvlJc w:val="left"/>
      <w:pPr>
        <w:ind w:left="720" w:hanging="360"/>
      </w:pPr>
    </w:lvl>
    <w:lvl w:ilvl="1" w:tplc="6A3C13C0">
      <w:numFmt w:val="decimal"/>
      <w:lvlText w:val=""/>
      <w:lvlJc w:val="left"/>
    </w:lvl>
    <w:lvl w:ilvl="2" w:tplc="09AC49DC">
      <w:numFmt w:val="decimal"/>
      <w:lvlText w:val=""/>
      <w:lvlJc w:val="left"/>
    </w:lvl>
    <w:lvl w:ilvl="3" w:tplc="CC686B46">
      <w:numFmt w:val="decimal"/>
      <w:lvlText w:val=""/>
      <w:lvlJc w:val="left"/>
    </w:lvl>
    <w:lvl w:ilvl="4" w:tplc="E1088A52">
      <w:numFmt w:val="decimal"/>
      <w:lvlText w:val=""/>
      <w:lvlJc w:val="left"/>
    </w:lvl>
    <w:lvl w:ilvl="5" w:tplc="0F9E727E">
      <w:numFmt w:val="decimal"/>
      <w:lvlText w:val=""/>
      <w:lvlJc w:val="left"/>
    </w:lvl>
    <w:lvl w:ilvl="6" w:tplc="C54C75E2">
      <w:numFmt w:val="decimal"/>
      <w:lvlText w:val=""/>
      <w:lvlJc w:val="left"/>
    </w:lvl>
    <w:lvl w:ilvl="7" w:tplc="D50A8BB6">
      <w:numFmt w:val="decimal"/>
      <w:lvlText w:val=""/>
      <w:lvlJc w:val="left"/>
    </w:lvl>
    <w:lvl w:ilvl="8" w:tplc="3E3E257C">
      <w:numFmt w:val="decimal"/>
      <w:lvlText w:val=""/>
      <w:lvlJc w:val="left"/>
    </w:lvl>
  </w:abstractNum>
  <w:abstractNum w:abstractNumId="1" w15:restartNumberingAfterBreak="0">
    <w:nsid w:val="36EF356A"/>
    <w:multiLevelType w:val="hybridMultilevel"/>
    <w:tmpl w:val="B13603FC"/>
    <w:lvl w:ilvl="0" w:tplc="2848B9C2">
      <w:start w:val="1"/>
      <w:numFmt w:val="decimal"/>
      <w:lvlText w:val="%1."/>
      <w:lvlJc w:val="left"/>
      <w:pPr>
        <w:ind w:left="720" w:hanging="360"/>
      </w:pPr>
    </w:lvl>
    <w:lvl w:ilvl="1" w:tplc="D2FEF042">
      <w:numFmt w:val="decimal"/>
      <w:lvlText w:val=""/>
      <w:lvlJc w:val="left"/>
    </w:lvl>
    <w:lvl w:ilvl="2" w:tplc="ABD0F58C">
      <w:numFmt w:val="decimal"/>
      <w:lvlText w:val=""/>
      <w:lvlJc w:val="left"/>
    </w:lvl>
    <w:lvl w:ilvl="3" w:tplc="B114D99C">
      <w:numFmt w:val="decimal"/>
      <w:lvlText w:val=""/>
      <w:lvlJc w:val="left"/>
    </w:lvl>
    <w:lvl w:ilvl="4" w:tplc="E6EEDA2A">
      <w:numFmt w:val="decimal"/>
      <w:lvlText w:val=""/>
      <w:lvlJc w:val="left"/>
    </w:lvl>
    <w:lvl w:ilvl="5" w:tplc="FE50DC64">
      <w:numFmt w:val="decimal"/>
      <w:lvlText w:val=""/>
      <w:lvlJc w:val="left"/>
    </w:lvl>
    <w:lvl w:ilvl="6" w:tplc="7918206C">
      <w:numFmt w:val="decimal"/>
      <w:lvlText w:val=""/>
      <w:lvlJc w:val="left"/>
    </w:lvl>
    <w:lvl w:ilvl="7" w:tplc="2086002A">
      <w:numFmt w:val="decimal"/>
      <w:lvlText w:val=""/>
      <w:lvlJc w:val="left"/>
    </w:lvl>
    <w:lvl w:ilvl="8" w:tplc="BE322920">
      <w:numFmt w:val="decimal"/>
      <w:lvlText w:val=""/>
      <w:lvlJc w:val="left"/>
    </w:lvl>
  </w:abstractNum>
  <w:abstractNum w:abstractNumId="2" w15:restartNumberingAfterBreak="0">
    <w:nsid w:val="53C202FB"/>
    <w:multiLevelType w:val="hybridMultilevel"/>
    <w:tmpl w:val="1778D3FA"/>
    <w:lvl w:ilvl="0" w:tplc="BA7A69BE">
      <w:start w:val="1"/>
      <w:numFmt w:val="bullet"/>
      <w:lvlText w:val="●"/>
      <w:lvlJc w:val="left"/>
      <w:pPr>
        <w:ind w:left="720" w:hanging="360"/>
      </w:pPr>
    </w:lvl>
    <w:lvl w:ilvl="1" w:tplc="28C8DF56">
      <w:start w:val="1"/>
      <w:numFmt w:val="bullet"/>
      <w:lvlText w:val="○"/>
      <w:lvlJc w:val="left"/>
      <w:pPr>
        <w:ind w:left="1440" w:hanging="360"/>
      </w:pPr>
    </w:lvl>
    <w:lvl w:ilvl="2" w:tplc="6E065202">
      <w:start w:val="1"/>
      <w:numFmt w:val="bullet"/>
      <w:lvlText w:val="■"/>
      <w:lvlJc w:val="left"/>
      <w:pPr>
        <w:ind w:left="2160" w:hanging="360"/>
      </w:pPr>
    </w:lvl>
    <w:lvl w:ilvl="3" w:tplc="91C22506">
      <w:start w:val="1"/>
      <w:numFmt w:val="bullet"/>
      <w:lvlText w:val="●"/>
      <w:lvlJc w:val="left"/>
      <w:pPr>
        <w:ind w:left="2880" w:hanging="360"/>
      </w:pPr>
    </w:lvl>
    <w:lvl w:ilvl="4" w:tplc="9DAEC740">
      <w:start w:val="1"/>
      <w:numFmt w:val="bullet"/>
      <w:lvlText w:val="○"/>
      <w:lvlJc w:val="left"/>
      <w:pPr>
        <w:ind w:left="3600" w:hanging="360"/>
      </w:pPr>
    </w:lvl>
    <w:lvl w:ilvl="5" w:tplc="648847A8">
      <w:start w:val="1"/>
      <w:numFmt w:val="bullet"/>
      <w:lvlText w:val="■"/>
      <w:lvlJc w:val="left"/>
      <w:pPr>
        <w:ind w:left="4320" w:hanging="360"/>
      </w:pPr>
    </w:lvl>
    <w:lvl w:ilvl="6" w:tplc="79AACEF8">
      <w:start w:val="1"/>
      <w:numFmt w:val="bullet"/>
      <w:lvlText w:val="●"/>
      <w:lvlJc w:val="left"/>
      <w:pPr>
        <w:ind w:left="5040" w:hanging="360"/>
      </w:pPr>
    </w:lvl>
    <w:lvl w:ilvl="7" w:tplc="8BF24B08">
      <w:start w:val="1"/>
      <w:numFmt w:val="bullet"/>
      <w:lvlText w:val="●"/>
      <w:lvlJc w:val="left"/>
      <w:pPr>
        <w:ind w:left="5760" w:hanging="360"/>
      </w:pPr>
    </w:lvl>
    <w:lvl w:ilvl="8" w:tplc="C44085F6">
      <w:start w:val="1"/>
      <w:numFmt w:val="bullet"/>
      <w:lvlText w:val="●"/>
      <w:lvlJc w:val="left"/>
      <w:pPr>
        <w:ind w:left="6480" w:hanging="360"/>
      </w:pPr>
    </w:lvl>
  </w:abstractNum>
  <w:num w:numId="1" w16cid:durableId="659313385">
    <w:abstractNumId w:val="2"/>
    <w:lvlOverride w:ilvl="0">
      <w:startOverride w:val="1"/>
    </w:lvlOverride>
  </w:num>
  <w:num w:numId="2" w16cid:durableId="9036127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5D3"/>
    <w:rsid w:val="001F0051"/>
    <w:rsid w:val="008E24C1"/>
    <w:rsid w:val="00BC7363"/>
    <w:rsid w:val="00E25DCE"/>
    <w:rsid w:val="00E36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0CE0DD"/>
  <w15:docId w15:val="{28A777E1-A2B2-AD4C-8022-9A8AB067A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5C8A"/>
      <w:sz w:val="32"/>
      <w:szCs w:val="32"/>
    </w:rPr>
  </w:style>
  <w:style w:type="paragraph" w:styleId="Heading2">
    <w:name w:val="heading 2"/>
    <w:uiPriority w:val="9"/>
    <w:unhideWhenUsed/>
    <w:qFormat/>
    <w:pPr>
      <w:spacing w:before="240" w:after="120"/>
      <w:outlineLvl w:val="1"/>
    </w:pPr>
    <w:rPr>
      <w:b/>
      <w:bCs/>
      <w:color w:val="2E5C8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1832</Words>
  <Characters>11127</Characters>
  <Application>Microsoft Office Word</Application>
  <DocSecurity>0</DocSecurity>
  <Lines>271</Lines>
  <Paragraphs>113</Paragraphs>
  <ScaleCrop>false</ScaleCrop>
  <Company/>
  <LinksUpToDate>false</LinksUpToDate>
  <CharactersWithSpaces>12846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 Bernard Lavine</cp:lastModifiedBy>
  <cp:revision>3</cp:revision>
  <dcterms:created xsi:type="dcterms:W3CDTF">2026-04-13T15:42:00Z</dcterms:created>
  <dcterms:modified xsi:type="dcterms:W3CDTF">2026-04-13T15:47:00Z</dcterms:modified>
</cp:coreProperties>
</file>