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4B"/>
          <w:sz w:val="56"/>
          <w:szCs w:val="56"/>
        </w:rPr>
        <w:t xml:space="preserve">NACW 2026</w:t>
      </w:r>
    </w:p>
    <w:p>
      <w:pPr>
        <w:spacing w:after="100"/>
        <w:jc w:val="center"/>
      </w:pPr>
      <w:r>
        <w:rPr>
          <w:rFonts w:ascii="Arial" w:cs="Arial" w:eastAsia="Arial" w:hAnsi="Arial"/>
          <w:color w:val="2E75B6"/>
          <w:sz w:val="28"/>
          <w:szCs w:val="28"/>
        </w:rPr>
        <w:t xml:space="preserve">North American Carbon World</w:t>
      </w:r>
    </w:p>
    <w:p>
      <w:pPr>
        <w:spacing w:after="600"/>
        <w:jc w:val="center"/>
      </w:pPr>
      <w:r>
        <w:rPr>
          <w:rFonts w:ascii="Arial" w:cs="Arial" w:eastAsia="Arial" w:hAnsi="Arial"/>
          <w:color w:val="2E75B6"/>
          <w:sz w:val="28"/>
          <w:szCs w:val="28"/>
        </w:rPr>
        <w:t xml:space="preserve">Conference Report-Back</w:t>
      </w:r>
    </w:p>
    <w:p>
      <w:pPr>
        <w:spacing w:after="60"/>
        <w:jc w:val="center"/>
      </w:pPr>
      <w:r>
        <w:rPr>
          <w:rFonts w:ascii="Arial" w:cs="Arial" w:eastAsia="Arial" w:hAnsi="Arial"/>
          <w:color w:val="555555"/>
          <w:sz w:val="22"/>
          <w:szCs w:val="22"/>
        </w:rPr>
        <w:t xml:space="preserve">Charm Industrial — MRV Team</w:t>
      </w:r>
    </w:p>
    <w:p>
      <w:pPr>
        <w:spacing w:after="60"/>
        <w:jc w:val="center"/>
      </w:pPr>
      <w:r>
        <w:rPr>
          <w:rFonts w:ascii="Arial" w:cs="Arial" w:eastAsia="Arial" w:hAnsi="Arial"/>
          <w:color w:val="555555"/>
          <w:sz w:val="22"/>
          <w:szCs w:val="22"/>
        </w:rPr>
        <w:t xml:space="preserve">April 2026</w:t>
      </w:r>
    </w:p>
    <w:p>
      <w:pPr>
        <w:jc w:val="center"/>
      </w:pPr>
      <w:r>
        <w:rPr>
          <w:rFonts w:ascii="Arial" w:cs="Arial" w:eastAsia="Arial" w:hAnsi="Arial"/>
          <w:color w:val="555555"/>
          <w:sz w:val="22"/>
          <w:szCs w:val="22"/>
        </w:rPr>
        <w:t xml:space="preserve">Prepared by Max Lavine</w:t>
      </w:r>
    </w:p>
    <w:p>
      <w:pPr>
        <w:sectPr>
          <w:pgSz w:w="12240" w:h="15840" w:orient="portrait"/>
          <w:pgMar w:top="1440" w:right="1440" w:bottom="1440" w:left="1440" w:header="708" w:footer="708" w:gutter="0"/>
          <w:pgNumType/>
          <w:docGrid w:linePitch="360"/>
        </w:sectPr>
      </w:pPr>
    </w:p>
    <w:p>
      <w:pPr>
        <w:pStyle w:val="Heading1"/>
        <w:pBdr>
          <w:bottom w:val="single" w:color="2E75B6" w:sz="4" w:space="4"/>
        </w:pBdr>
        <w:spacing w:after="200" w:before="360"/>
      </w:pPr>
      <w:r>
        <w:rPr>
          <w:rFonts w:ascii="Arial" w:cs="Arial" w:eastAsia="Arial" w:hAnsi="Arial"/>
          <w:b/>
          <w:bCs/>
          <w:color w:val="1B3A4B"/>
          <w:sz w:val="32"/>
          <w:szCs w:val="32"/>
        </w:rPr>
        <w:t xml:space="preserve">Executive Summary</w:t>
      </w:r>
    </w:p>
    <w:p>
      <w:pPr>
        <w:spacing w:after="120"/>
        <w:jc w:val="left"/>
      </w:pPr>
      <w:r>
        <w:rPr>
          <w:rFonts w:ascii="Arial" w:cs="Arial" w:eastAsia="Arial" w:hAnsi="Arial"/>
          <w:i w:val="false"/>
          <w:iCs w:val="false"/>
          <w:color w:val="333333"/>
          <w:sz w:val="21"/>
          <w:szCs w:val="21"/>
        </w:rPr>
        <w:t xml:space="preserve">NACW 2026 reinforced several converging themes across the voluntary carbon market. The overarching message: the market’s bottleneck is no longer methodology or science—it’s infrastructure, institutional trust, and the willingness to tolerate imperfection in service of speed. Key takeaways for Charm:</w:t>
      </w:r>
    </w:p>
    <w:p>
      <w:pPr>
        <w:spacing w:after="120"/>
      </w:pPr>
      <w:r>
        <w:rPr>
          <w:rFonts w:ascii="Arial" w:cs="Arial" w:eastAsia="Arial" w:hAnsi="Arial"/>
          <w:b/>
          <w:bCs/>
          <w:color w:val="333333"/>
          <w:sz w:val="21"/>
          <w:szCs w:val="21"/>
        </w:rPr>
        <w:t xml:space="preserve">Market infrastructure is the unlock. </w:t>
      </w:r>
      <w:r>
        <w:rPr>
          <w:rFonts w:ascii="Arial" w:cs="Arial" w:eastAsia="Arial" w:hAnsi="Arial"/>
          <w:color w:val="333333"/>
          <w:sz w:val="21"/>
          <w:szCs w:val="21"/>
        </w:rPr>
        <w:t xml:space="preserve">Registries, legal title, settlement, and data standardization were cited repeatedly as the missing layer between project-level activity and institutional capital flows. The consensus is that whoever builds this infrastructure first will shape the market.</w:t>
      </w:r>
    </w:p>
    <w:p>
      <w:pPr>
        <w:spacing w:after="120"/>
      </w:pPr>
      <w:r>
        <w:rPr>
          <w:rFonts w:ascii="Arial" w:cs="Arial" w:eastAsia="Arial" w:hAnsi="Arial"/>
          <w:b/>
          <w:bCs/>
          <w:color w:val="333333"/>
          <w:sz w:val="21"/>
          <w:szCs w:val="21"/>
        </w:rPr>
        <w:t xml:space="preserve">Speed over perfection. </w:t>
      </w:r>
      <w:r>
        <w:rPr>
          <w:rFonts w:ascii="Arial" w:cs="Arial" w:eastAsia="Arial" w:hAnsi="Arial"/>
          <w:color w:val="333333"/>
          <w:sz w:val="21"/>
          <w:szCs w:val="21"/>
        </w:rPr>
        <w:t xml:space="preserve">Across panels—from soil carbon to orphaned wells to AI—the dominant posture was that conservative, uncertainty-adjusted action at scale beats analysis paralysis. The market cannot afford to wait for perfect quantification.</w:t>
      </w:r>
    </w:p>
    <w:p>
      <w:pPr>
        <w:spacing w:after="120"/>
      </w:pPr>
      <w:r>
        <w:rPr>
          <w:rFonts w:ascii="Arial" w:cs="Arial" w:eastAsia="Arial" w:hAnsi="Arial"/>
          <w:b/>
          <w:bCs/>
          <w:color w:val="333333"/>
          <w:sz w:val="21"/>
          <w:szCs w:val="21"/>
        </w:rPr>
        <w:t xml:space="preserve">AI is real but constrained. </w:t>
      </w:r>
      <w:r>
        <w:rPr>
          <w:rFonts w:ascii="Arial" w:cs="Arial" w:eastAsia="Arial" w:hAnsi="Arial"/>
          <w:color w:val="333333"/>
          <w:sz w:val="21"/>
          <w:szCs w:val="21"/>
        </w:rPr>
        <w:t xml:space="preserve">AI is accelerating compliance, catching calc errors, and streamlining project development—but only with human-in-the-loop oversight. The “black box problem” and trailing error rates (5–30%) remain unresolved barriers to full automation.</w:t>
      </w:r>
    </w:p>
    <w:p>
      <w:pPr>
        <w:spacing w:after="120"/>
      </w:pPr>
      <w:r>
        <w:rPr>
          <w:rFonts w:ascii="Arial" w:cs="Arial" w:eastAsia="Arial" w:hAnsi="Arial"/>
          <w:b/>
          <w:bCs/>
          <w:color w:val="333333"/>
          <w:sz w:val="21"/>
          <w:szCs w:val="21"/>
        </w:rPr>
        <w:t xml:space="preserve">Risk distribution needs rethinking. </w:t>
      </w:r>
      <w:r>
        <w:rPr>
          <w:rFonts w:ascii="Arial" w:cs="Arial" w:eastAsia="Arial" w:hAnsi="Arial"/>
          <w:color w:val="333333"/>
          <w:sz w:val="21"/>
          <w:szCs w:val="21"/>
        </w:rPr>
        <w:t xml:space="preserve">Over-burdening projects with haircuts, buffer pools, and permanence risk strains finances and increases aggregate risk. Distributed models—permanence trusts, insurance, horizontal stacking—are gaining traction as alternatives.</w:t>
      </w:r>
    </w:p>
    <w:p>
      <w:r>
        <w:br w:type="page"/>
      </w:r>
    </w:p>
    <w:p>
      <w:pPr>
        <w:pStyle w:val="Heading1"/>
        <w:pBdr>
          <w:bottom w:val="single" w:color="2E75B6" w:sz="4" w:space="4"/>
        </w:pBdr>
        <w:spacing w:after="200" w:before="360"/>
      </w:pPr>
      <w:r>
        <w:rPr>
          <w:rFonts w:ascii="Arial" w:cs="Arial" w:eastAsia="Arial" w:hAnsi="Arial"/>
          <w:b/>
          <w:bCs/>
          <w:color w:val="1B3A4B"/>
          <w:sz w:val="32"/>
          <w:szCs w:val="32"/>
        </w:rPr>
        <w:t xml:space="preserve">Day 1</w:t>
      </w:r>
    </w:p>
    <w:p>
      <w:pPr>
        <w:pStyle w:val="Heading2"/>
        <w:spacing w:after="120" w:before="280"/>
      </w:pPr>
      <w:r>
        <w:rPr>
          <w:rFonts w:ascii="Arial" w:cs="Arial" w:eastAsia="Arial" w:hAnsi="Arial"/>
          <w:b/>
          <w:bCs/>
          <w:color w:val="2E75B6"/>
          <w:sz w:val="26"/>
          <w:szCs w:val="26"/>
        </w:rPr>
        <w:t xml:space="preserve">CAR Protocol Workshop</w:t>
      </w:r>
    </w:p>
    <w:p>
      <w:pPr>
        <w:spacing w:after="120"/>
        <w:jc w:val="left"/>
      </w:pPr>
      <w:r>
        <w:rPr>
          <w:rFonts w:ascii="Arial" w:cs="Arial" w:eastAsia="Arial" w:hAnsi="Arial"/>
          <w:i w:val="false"/>
          <w:iCs w:val="false"/>
          <w:color w:val="333333"/>
          <w:sz w:val="21"/>
          <w:szCs w:val="21"/>
        </w:rPr>
        <w:t xml:space="preserve">CAR presented a modular protocol architecture: a core pathway module paired with regional “jurisdiction” modules that accommodate local regs, plus optional technical guidance. They emphasized scalability through geographic tailoring and rapid update cycles. Their superpollutant work—N₂O abatement and chemical sector applications (EV batteries, fertilizers)—is expanding their scope. Notably, European companies are showing interest in localized credits that demonstrate impact where they operate, which CAR’s jurisdiction infrastructure is positioned to support.</w:t>
      </w:r>
    </w:p>
    <w:p>
      <w:pPr>
        <w:pStyle w:val="Heading2"/>
        <w:spacing w:after="120" w:before="280"/>
      </w:pPr>
      <w:r>
        <w:rPr>
          <w:rFonts w:ascii="Arial" w:cs="Arial" w:eastAsia="Arial" w:hAnsi="Arial"/>
          <w:b/>
          <w:bCs/>
          <w:color w:val="2E75B6"/>
          <w:sz w:val="26"/>
          <w:szCs w:val="26"/>
        </w:rPr>
        <w:t xml:space="preserve">Soil Carbon Panel: Indigo Ag, Agricarbon, Cool Effect, Rubicon Carbon</w:t>
      </w:r>
    </w:p>
    <w:p>
      <w:pPr>
        <w:spacing w:after="120"/>
        <w:jc w:val="left"/>
      </w:pPr>
      <w:r>
        <w:rPr>
          <w:rFonts w:ascii="Arial" w:cs="Arial" w:eastAsia="Arial" w:hAnsi="Arial"/>
          <w:i w:val="false"/>
          <w:iCs w:val="false"/>
          <w:color w:val="333333"/>
          <w:sz w:val="21"/>
          <w:szCs w:val="21"/>
        </w:rPr>
        <w:t xml:space="preserve">This panel covered the state of soil carbon crediting, with Indigo Ag (vertically integrated, row crop focus), Agricarbon (protocol-agnostic management infra), Cool Effect (high-integrity credit sales to corporates), and Rubicon Carbon (multi-pathway credit trader, new to soil). Rubicon’s entry into soil this year—driven by CCP-tagged methodologies and better measurement tech—signals growing buy-side confidence. Key tensions emerged around aggregating removals vs. reductions (buy side wants them bundled), additionality (Indigo arguing against the “common practice test”), and the universal agreement that scaling quickly with conservative, uncertainty-adjusted credits beats waiting for perfect quantification.</w:t>
      </w:r>
    </w:p>
    <w:p>
      <w:pPr>
        <w:pBdr>
          <w:left w:val="single" w:color="2E75B6" w:sz="8" w:space="8"/>
        </w:pBdr>
        <w:spacing w:after="120"/>
        <w:ind w:left="360" w:right="360"/>
      </w:pPr>
      <w:r>
        <w:rPr>
          <w:rFonts w:ascii="Arial" w:cs="Arial" w:eastAsia="Arial" w:hAnsi="Arial"/>
          <w:i/>
          <w:iCs/>
          <w:color w:val="555555"/>
          <w:sz w:val="21"/>
          <w:szCs w:val="21"/>
        </w:rPr>
        <w:t xml:space="preserve">“We can’t afford not to do this. — Rubicon Carbon”</w:t>
      </w:r>
    </w:p>
    <w:p>
      <w:pPr>
        <w:pStyle w:val="Heading2"/>
        <w:spacing w:after="120" w:before="280"/>
      </w:pPr>
      <w:r>
        <w:rPr>
          <w:rFonts w:ascii="Arial" w:cs="Arial" w:eastAsia="Arial" w:hAnsi="Arial"/>
          <w:b/>
          <w:bCs/>
          <w:color w:val="2E75B6"/>
          <w:sz w:val="26"/>
          <w:szCs w:val="26"/>
        </w:rPr>
        <w:t xml:space="preserve">7 Circles: Diligence, Ratings &amp; Data Rooms</w:t>
      </w:r>
    </w:p>
    <w:p>
      <w:pPr>
        <w:spacing w:after="120"/>
        <w:jc w:val="left"/>
      </w:pPr>
      <w:r>
        <w:rPr>
          <w:rFonts w:ascii="Arial" w:cs="Arial" w:eastAsia="Arial" w:hAnsi="Arial"/>
          <w:i w:val="false"/>
          <w:iCs w:val="false"/>
          <w:color w:val="333333"/>
          <w:sz w:val="21"/>
          <w:szCs w:val="21"/>
        </w:rPr>
        <w:t xml:space="preserve">7 Circles walked through the full gauntlet a project faces—LCA review, insurance underwriting, ratings agencies, and external diligence. The LCA segment flagged common issues (boundary exclusions, static baselines, black-box models) and green flags (transparent boundaries, reputable databases, sensitivity analysis, auditable docs). Practical advice: build a comprehensive data room early, standardize your project narrative across MRV and sales, engage VVBs and registries before you need them, align to buyer-friendly frameworks like ICVCM, and invest in DMRV from day one. Their “asked and answered” approach—maintaining a running file of questions fielded across engagements—is a simple, useful practice.</w:t>
      </w:r>
    </w:p>
    <w:p>
      <w:pPr>
        <w:pStyle w:val="Heading2"/>
        <w:spacing w:after="120" w:before="280"/>
      </w:pPr>
      <w:r>
        <w:rPr>
          <w:rFonts w:ascii="Arial" w:cs="Arial" w:eastAsia="Arial" w:hAnsi="Arial"/>
          <w:b/>
          <w:bCs/>
          <w:color w:val="2E75B6"/>
          <w:sz w:val="26"/>
          <w:szCs w:val="26"/>
        </w:rPr>
        <w:t xml:space="preserve">Technology Panel</w:t>
      </w:r>
    </w:p>
    <w:p>
      <w:pPr>
        <w:spacing w:after="120"/>
        <w:jc w:val="left"/>
      </w:pPr>
      <w:r>
        <w:rPr>
          <w:rFonts w:ascii="Arial" w:cs="Arial" w:eastAsia="Arial" w:hAnsi="Arial"/>
          <w:i w:val="false"/>
          <w:iCs w:val="false"/>
          <w:color w:val="333333"/>
          <w:sz w:val="21"/>
          <w:szCs w:val="21"/>
        </w:rPr>
        <w:t xml:space="preserve">The tech panel surfaced two distinct threads. On the ag side, AgriCapture’s Tyler Hull discussed reducing MRV friction for farmers. The meatier discussion came from Quantum Apex’s Benoit Clement, who argued that market maturation hinges not on better measurement but on legal infrastructure: defensible title, regulated custody and settlement agents, and standardized data packages for diligence. GeoOptics (NASA JPL spinoff) presented radar-based remote sensing with potential for SOC applications, though ground validation remains a necessary complement. The overarching point: MRV tech providers become most valuable when they connect data collection to the broader infrastructure of a mature commodities market.</w:t>
      </w:r>
    </w:p>
    <w:p>
      <w:pPr>
        <w:pBdr>
          <w:left w:val="single" w:color="2E75B6" w:sz="8" w:space="8"/>
        </w:pBdr>
        <w:spacing w:after="120"/>
        <w:ind w:left="360" w:right="360"/>
      </w:pPr>
      <w:r>
        <w:rPr>
          <w:rFonts w:ascii="Arial" w:cs="Arial" w:eastAsia="Arial" w:hAnsi="Arial"/>
          <w:i/>
          <w:iCs/>
          <w:color w:val="555555"/>
          <w:sz w:val="21"/>
          <w:szCs w:val="21"/>
        </w:rPr>
        <w:t xml:space="preserve">“Is ownership of this asset defensible? That question matters more than ‘Is this measurement right?’ — Benoit Clement, Quantum Apex”</w:t>
      </w:r>
    </w:p>
    <w:p>
      <w:r>
        <w:br w:type="page"/>
      </w:r>
    </w:p>
    <w:p>
      <w:pPr>
        <w:pStyle w:val="Heading1"/>
        <w:pBdr>
          <w:bottom w:val="single" w:color="2E75B6" w:sz="4" w:space="4"/>
        </w:pBdr>
        <w:spacing w:after="200" w:before="360"/>
      </w:pPr>
      <w:r>
        <w:rPr>
          <w:rFonts w:ascii="Arial" w:cs="Arial" w:eastAsia="Arial" w:hAnsi="Arial"/>
          <w:b/>
          <w:bCs/>
          <w:color w:val="1B3A4B"/>
          <w:sz w:val="32"/>
          <w:szCs w:val="32"/>
        </w:rPr>
        <w:t xml:space="preserve">Day 2</w:t>
      </w:r>
    </w:p>
    <w:p>
      <w:pPr>
        <w:pStyle w:val="Heading2"/>
        <w:spacing w:after="120" w:before="280"/>
      </w:pPr>
      <w:r>
        <w:rPr>
          <w:rFonts w:ascii="Arial" w:cs="Arial" w:eastAsia="Arial" w:hAnsi="Arial"/>
          <w:b/>
          <w:bCs/>
          <w:color w:val="2E75B6"/>
          <w:sz w:val="26"/>
          <w:szCs w:val="26"/>
        </w:rPr>
        <w:t xml:space="preserve">AI in Carbon Markets Panel</w:t>
      </w:r>
    </w:p>
    <w:p>
      <w:pPr>
        <w:spacing w:after="120"/>
        <w:jc w:val="left"/>
      </w:pPr>
      <w:r>
        <w:rPr>
          <w:rFonts w:ascii="Arial" w:cs="Arial" w:eastAsia="Arial" w:hAnsi="Arial"/>
          <w:i w:val="false"/>
          <w:iCs w:val="false"/>
          <w:color w:val="333333"/>
          <w:sz w:val="21"/>
          <w:szCs w:val="21"/>
        </w:rPr>
        <w:t xml:space="preserve">Panelists from Credegra, Hashgraph, and Indigo Ag explored AI’s role across the credit lifecycle. Hashgraph has built an open-source library of 400+ methodologies that AI can use as a knowledge base for workflow generation and accuracy checking. Indigo uses AI for field boundary inference and as a prototyping accelerator. Credegra runs AI-driven mock VVB reviews, catching calc errors and cross-reference issues against a database of 20k Verra VVB reports. The consensus: AI excels at pattern-matching, error detection, and compliance prep, but requires human-in-the-loop validation. Credegra’s initial AI runs hit ~95% accuracy—but the remaining 5% triggered findings and delays, underscoring the “black box problem.” Remote sensing inference error rates of 20–30% further reinforce the need for balanced workflows that combine data-driven inference with targeted human checks.</w:t>
      </w:r>
    </w:p>
    <w:p>
      <w:pPr>
        <w:pBdr>
          <w:left w:val="single" w:color="2E75B6" w:sz="8" w:space="8"/>
        </w:pBdr>
        <w:spacing w:after="120"/>
        <w:ind w:left="360" w:right="360"/>
      </w:pPr>
      <w:r>
        <w:rPr>
          <w:rFonts w:ascii="Arial" w:cs="Arial" w:eastAsia="Arial" w:hAnsi="Arial"/>
          <w:i/>
          <w:iCs/>
          <w:color w:val="555555"/>
          <w:sz w:val="21"/>
          <w:szCs w:val="21"/>
        </w:rPr>
        <w:t xml:space="preserve">“AI is good for prediction, not for guaranteeing integrity. — Wes Geisenberger, Hashgraph”</w:t>
      </w:r>
    </w:p>
    <w:p>
      <w:pPr>
        <w:pStyle w:val="Heading2"/>
        <w:spacing w:after="120" w:before="280"/>
      </w:pPr>
      <w:r>
        <w:rPr>
          <w:rFonts w:ascii="Arial" w:cs="Arial" w:eastAsia="Arial" w:hAnsi="Arial"/>
          <w:b/>
          <w:bCs/>
          <w:color w:val="2E75B6"/>
          <w:sz w:val="26"/>
          <w:szCs w:val="26"/>
        </w:rPr>
        <w:t xml:space="preserve">Registry Infrastructure</w:t>
      </w:r>
    </w:p>
    <w:p>
      <w:pPr>
        <w:spacing w:after="120"/>
        <w:jc w:val="left"/>
      </w:pPr>
      <w:r>
        <w:rPr>
          <w:rFonts w:ascii="Arial" w:cs="Arial" w:eastAsia="Arial" w:hAnsi="Arial"/>
          <w:i w:val="false"/>
          <w:iCs w:val="false"/>
          <w:color w:val="333333"/>
          <w:sz w:val="21"/>
          <w:szCs w:val="21"/>
        </w:rPr>
        <w:t xml:space="preserve">This session made the strongest case for what’s missing in the market. The core argument: registries need to become a stable, neutral foundational layer—independent of commercial activities—that is bankable, regulatable, and capable of meeting institutional capital requirements. Katie Doyle (Xpansiv/TERC) emphasized dMRV consistency as a key trust-builder. Arsalan Syed pushed back slightly, noting the infrastructure could be specialized systems connected via APIs rather than a single monolith—“nominal fragmentation” that retains the functions of a unified market. The panel was notably skeptical of blockchain/tokenized assets, calling them “a solution in search of a problem” given unresolved legal status questions that would compound existing carbon credit uncertainty. The practical takeaway: registries should focus on doing registry functions well first.</w:t>
      </w:r>
    </w:p>
    <w:p>
      <w:pPr>
        <w:pStyle w:val="Heading2"/>
        <w:spacing w:after="120" w:before="280"/>
      </w:pPr>
      <w:r>
        <w:rPr>
          <w:rFonts w:ascii="Arial" w:cs="Arial" w:eastAsia="Arial" w:hAnsi="Arial"/>
          <w:b/>
          <w:bCs/>
          <w:color w:val="2E75B6"/>
          <w:sz w:val="26"/>
          <w:szCs w:val="26"/>
        </w:rPr>
        <w:t xml:space="preserve">Buyer’s Lens Plenary</w:t>
      </w:r>
    </w:p>
    <w:p>
      <w:pPr>
        <w:spacing w:after="120"/>
        <w:jc w:val="left"/>
      </w:pPr>
      <w:r>
        <w:rPr>
          <w:rFonts w:ascii="Arial" w:cs="Arial" w:eastAsia="Arial" w:hAnsi="Arial"/>
          <w:i w:val="false"/>
          <w:iCs w:val="false"/>
          <w:color w:val="333333"/>
          <w:sz w:val="21"/>
          <w:szCs w:val="21"/>
        </w:rPr>
        <w:t xml:space="preserve">Google’s framework evaluates credits on two axes: certainty of impact (strong MRV, delivery confidence) and scale of impact (technical feasibility, cost curve trajectory). Their portfolio strategy spans timescales—near-term NBS alongside breakthrough tech via Frontier—and they co-founded the Symbiosis coalition for ag removals. They look for methodology approval by ICVCM, CORSIA, or equivalent bodies as integrity signals, and are actively working to bring other corporates into the market by making the business case for CDR procurement.</w:t>
      </w:r>
    </w:p>
    <w:p>
      <w:r>
        <w:br w:type="page"/>
      </w:r>
    </w:p>
    <w:p>
      <w:pPr>
        <w:pStyle w:val="Heading1"/>
        <w:pBdr>
          <w:bottom w:val="single" w:color="2E75B6" w:sz="4" w:space="4"/>
        </w:pBdr>
        <w:spacing w:after="200" w:before="360"/>
      </w:pPr>
      <w:r>
        <w:rPr>
          <w:rFonts w:ascii="Arial" w:cs="Arial" w:eastAsia="Arial" w:hAnsi="Arial"/>
          <w:b/>
          <w:bCs/>
          <w:color w:val="1B3A4B"/>
          <w:sz w:val="32"/>
          <w:szCs w:val="32"/>
        </w:rPr>
        <w:t xml:space="preserve">Day 3</w:t>
      </w:r>
    </w:p>
    <w:p>
      <w:pPr>
        <w:pStyle w:val="Heading2"/>
        <w:spacing w:after="120" w:before="280"/>
      </w:pPr>
      <w:r>
        <w:rPr>
          <w:rFonts w:ascii="Arial" w:cs="Arial" w:eastAsia="Arial" w:hAnsi="Arial"/>
          <w:b/>
          <w:bCs/>
          <w:color w:val="2E75B6"/>
          <w:sz w:val="26"/>
          <w:szCs w:val="26"/>
        </w:rPr>
        <w:t xml:space="preserve">Orphaned Wells</w:t>
      </w:r>
    </w:p>
    <w:p>
      <w:pPr>
        <w:spacing w:after="120"/>
        <w:jc w:val="left"/>
      </w:pPr>
      <w:r>
        <w:rPr>
          <w:rFonts w:ascii="Arial" w:cs="Arial" w:eastAsia="Arial" w:hAnsi="Arial"/>
          <w:i w:val="false"/>
          <w:iCs w:val="false"/>
          <w:color w:val="333333"/>
          <w:sz w:val="21"/>
          <w:szCs w:val="21"/>
        </w:rPr>
        <w:t xml:space="preserve">Over 120k orphaned wells exist in the US, leaking methane with no solvent operator. Some states would need 100+ years to plug them at current pace. Three active methodologies exist (CarbonPath, Open Carbon Protocol, and an inactive ACR one), with 8.3M credits issued but less than 1M retired. Credits are issued upfront upon plugging. Key open questions: permanence verification is weak (only 1-year post-plug checks, no long-term monitoring requirement, and no comprehensive data on plug failure rates—an unconstrained risk); emissions quantification varies across methodologies on baseline approach, GWP timeframe (20yr vs. 100yr), and crediting period (20yr vs. 50yr). Additionality is relatively straightforward since most jurisdictions lack funding. CX is developing cost-effective long-term monitoring tech, which could address the permanence gap.</w:t>
      </w:r>
    </w:p>
    <w:p>
      <w:pPr>
        <w:pStyle w:val="Heading2"/>
        <w:spacing w:after="120" w:before="280"/>
      </w:pPr>
      <w:r>
        <w:rPr>
          <w:rFonts w:ascii="Arial" w:cs="Arial" w:eastAsia="Arial" w:hAnsi="Arial"/>
          <w:b/>
          <w:bCs/>
          <w:color w:val="2E75B6"/>
          <w:sz w:val="26"/>
          <w:szCs w:val="26"/>
        </w:rPr>
        <w:t xml:space="preserve">Integrity Through Risk Management</w:t>
      </w:r>
    </w:p>
    <w:p>
      <w:pPr>
        <w:spacing w:after="120"/>
        <w:jc w:val="left"/>
      </w:pPr>
      <w:r>
        <w:rPr>
          <w:rFonts w:ascii="Arial" w:cs="Arial" w:eastAsia="Arial" w:hAnsi="Arial"/>
          <w:i w:val="false"/>
          <w:iCs w:val="false"/>
          <w:color w:val="333333"/>
          <w:sz w:val="21"/>
          <w:szCs w:val="21"/>
        </w:rPr>
        <w:t xml:space="preserve">The strongest conceptual session of the conference. The central provocation: zero risk tolerance may actually increase systemic risk, because the resulting haircuts and buffer pool allocations strain project finances, potentially causing insolvency. A broader distribution of risk—across projects, buyers, registries, and insurance—could reduce aggregate failure. The panel introduced several tools: buffer pools, the Kita/AFF “Permanence Trust” (buyer fees into a third-party trust that funds risk mitigation and replacement credit purchases), insurance, and stacking strategies. Vertical stacking means over-procuring credits upfront; horizontal stacking means scheduled re-buys to hedge against shorter-duration credits or reversals. The framing that resonated most: the greatest risk at every level is unabated, catastrophic climate change—so tolerating more failure at the project level may be necessary to avoid failure at the atmospheric level.</w:t>
      </w:r>
    </w:p>
    <w:p>
      <w:pPr>
        <w:pBdr>
          <w:left w:val="single" w:color="2E75B6" w:sz="8" w:space="8"/>
        </w:pBdr>
        <w:spacing w:after="120"/>
        <w:ind w:left="360" w:right="360"/>
      </w:pPr>
      <w:r>
        <w:rPr>
          <w:rFonts w:ascii="Arial" w:cs="Arial" w:eastAsia="Arial" w:hAnsi="Arial"/>
          <w:i/>
          <w:iCs/>
          <w:color w:val="555555"/>
          <w:sz w:val="21"/>
          <w:szCs w:val="21"/>
        </w:rPr>
        <w:t xml:space="preserve">“Having more tolerance for failure at the project level may be a necessary condition to avoid failure at the atmospheric level.”</w:t>
      </w:r>
    </w:p>
    <w:p>
      <w:r>
        <w:br w:type="page"/>
      </w:r>
    </w:p>
    <w:p>
      <w:pPr>
        <w:pStyle w:val="Heading1"/>
        <w:pBdr>
          <w:bottom w:val="single" w:color="2E75B6" w:sz="4" w:space="4"/>
        </w:pBdr>
        <w:spacing w:after="200" w:before="360"/>
      </w:pPr>
      <w:r>
        <w:rPr>
          <w:rFonts w:ascii="Arial" w:cs="Arial" w:eastAsia="Arial" w:hAnsi="Arial"/>
          <w:b/>
          <w:bCs/>
          <w:color w:val="1B3A4B"/>
          <w:sz w:val="32"/>
          <w:szCs w:val="32"/>
        </w:rPr>
        <w:t xml:space="preserve">Cross-Cutting Themes</w:t>
      </w:r>
    </w:p>
    <w:p>
      <w:pPr>
        <w:pStyle w:val="Heading3"/>
        <w:spacing w:after="80" w:before="200"/>
      </w:pPr>
      <w:r>
        <w:rPr>
          <w:rFonts w:ascii="Arial" w:cs="Arial" w:eastAsia="Arial" w:hAnsi="Arial"/>
          <w:b/>
          <w:bCs/>
          <w:color w:val="1B3A4B"/>
          <w:sz w:val="22"/>
          <w:szCs w:val="22"/>
        </w:rPr>
        <w:t xml:space="preserve">1. Infrastructure Over Methodology</w:t>
      </w:r>
    </w:p>
    <w:p>
      <w:pPr>
        <w:spacing w:after="120"/>
        <w:jc w:val="left"/>
      </w:pPr>
      <w:r>
        <w:rPr>
          <w:rFonts w:ascii="Arial" w:cs="Arial" w:eastAsia="Arial" w:hAnsi="Arial"/>
          <w:i w:val="false"/>
          <w:iCs w:val="false"/>
          <w:color w:val="333333"/>
          <w:sz w:val="21"/>
          <w:szCs w:val="21"/>
        </w:rPr>
        <w:t xml:space="preserve">The market’s constraint has shifted from “how do we measure this?” to “how do we make this investable?” Legal title, custody, settlement, data standardization, and registry interoperability were cited as the missing layer between project activity and institutional capital.</w:t>
      </w:r>
    </w:p>
    <w:p>
      <w:pPr>
        <w:pStyle w:val="Heading3"/>
        <w:spacing w:after="80" w:before="200"/>
      </w:pPr>
      <w:r>
        <w:rPr>
          <w:rFonts w:ascii="Arial" w:cs="Arial" w:eastAsia="Arial" w:hAnsi="Arial"/>
          <w:b/>
          <w:bCs/>
          <w:color w:val="1B3A4B"/>
          <w:sz w:val="22"/>
          <w:szCs w:val="22"/>
        </w:rPr>
        <w:t xml:space="preserve">2. Scaling With Imperfection</w:t>
      </w:r>
    </w:p>
    <w:p>
      <w:pPr>
        <w:spacing w:after="120"/>
        <w:jc w:val="left"/>
      </w:pPr>
      <w:r>
        <w:rPr>
          <w:rFonts w:ascii="Arial" w:cs="Arial" w:eastAsia="Arial" w:hAnsi="Arial"/>
          <w:i w:val="false"/>
          <w:iCs w:val="false"/>
          <w:color w:val="333333"/>
          <w:sz w:val="21"/>
          <w:szCs w:val="21"/>
        </w:rPr>
        <w:t xml:space="preserve">Every panel endorsed moving fast with conservative, uncertainty-adjusted credits rather than waiting for perfect quantification. Statistical methods and uncertainty discounts were positioned as the pragmatic path to near-term climate impact.</w:t>
      </w:r>
    </w:p>
    <w:p>
      <w:pPr>
        <w:pStyle w:val="Heading3"/>
        <w:spacing w:after="80" w:before="200"/>
      </w:pPr>
      <w:r>
        <w:rPr>
          <w:rFonts w:ascii="Arial" w:cs="Arial" w:eastAsia="Arial" w:hAnsi="Arial"/>
          <w:b/>
          <w:bCs/>
          <w:color w:val="1B3A4B"/>
          <w:sz w:val="22"/>
          <w:szCs w:val="22"/>
        </w:rPr>
        <w:t xml:space="preserve">3. Risk Distribution</w:t>
      </w:r>
    </w:p>
    <w:p>
      <w:pPr>
        <w:spacing w:after="120"/>
        <w:jc w:val="left"/>
      </w:pPr>
      <w:r>
        <w:rPr>
          <w:rFonts w:ascii="Arial" w:cs="Arial" w:eastAsia="Arial" w:hAnsi="Arial"/>
          <w:i w:val="false"/>
          <w:iCs w:val="false"/>
          <w:color w:val="333333"/>
          <w:sz w:val="21"/>
          <w:szCs w:val="21"/>
        </w:rPr>
        <w:t xml:space="preserve">The current model of loading all risk onto projects is creating financial fragility. Permanence trusts, insurance, horizontal stacking, and buyer-shared risk structures are emerging as more sustainable alternatives.</w:t>
      </w:r>
    </w:p>
    <w:p>
      <w:pPr>
        <w:pStyle w:val="Heading3"/>
        <w:spacing w:after="80" w:before="200"/>
      </w:pPr>
      <w:r>
        <w:rPr>
          <w:rFonts w:ascii="Arial" w:cs="Arial" w:eastAsia="Arial" w:hAnsi="Arial"/>
          <w:b/>
          <w:bCs/>
          <w:color w:val="1B3A4B"/>
          <w:sz w:val="22"/>
          <w:szCs w:val="22"/>
        </w:rPr>
        <w:t xml:space="preserve">4. AI as Accelerant, Not Oracle</w:t>
      </w:r>
    </w:p>
    <w:p>
      <w:pPr>
        <w:spacing w:after="120"/>
        <w:jc w:val="left"/>
      </w:pPr>
      <w:r>
        <w:rPr>
          <w:rFonts w:ascii="Arial" w:cs="Arial" w:eastAsia="Arial" w:hAnsi="Arial"/>
          <w:i w:val="false"/>
          <w:iCs w:val="false"/>
          <w:color w:val="333333"/>
          <w:sz w:val="21"/>
          <w:szCs w:val="21"/>
        </w:rPr>
        <w:t xml:space="preserve">AI is delivering real value in compliance review, error detection, and workflow automation, but trailing error rates (5–30%) and the black-box problem mean human oversight remains non-negotiable. The most mature use cases combine AI inference with targeted human validation.</w:t>
      </w:r>
    </w:p>
    <w:p>
      <w:pPr>
        <w:pStyle w:val="Heading3"/>
        <w:spacing w:after="80" w:before="200"/>
      </w:pPr>
      <w:r>
        <w:rPr>
          <w:rFonts w:ascii="Arial" w:cs="Arial" w:eastAsia="Arial" w:hAnsi="Arial"/>
          <w:b/>
          <w:bCs/>
          <w:color w:val="1B3A4B"/>
          <w:sz w:val="22"/>
          <w:szCs w:val="22"/>
        </w:rPr>
        <w:t xml:space="preserve">5. NBS and Engineered Removals Coexistence</w:t>
      </w:r>
    </w:p>
    <w:p>
      <w:pPr>
        <w:spacing w:after="120"/>
        <w:jc w:val="left"/>
      </w:pPr>
      <w:r>
        <w:rPr>
          <w:rFonts w:ascii="Arial" w:cs="Arial" w:eastAsia="Arial" w:hAnsi="Arial"/>
          <w:i w:val="false"/>
          <w:iCs w:val="false"/>
          <w:color w:val="333333"/>
          <w:sz w:val="21"/>
          <w:szCs w:val="21"/>
        </w:rPr>
        <w:t xml:space="preserve">The NBS vs. engineered removals debate is softening. The emerging consensus is that both are necessary: NBS for near-term scale and co-benefits, engineered for long-term durability. Portfolio approaches (like Google’s) that span timescales are becoming the norm.</w:t>
      </w:r>
    </w:p>
    <w:p>
      <w:pPr>
        <w:pStyle w:val="Heading3"/>
        <w:spacing w:after="80" w:before="200"/>
      </w:pPr>
      <w:r>
        <w:rPr>
          <w:rFonts w:ascii="Arial" w:cs="Arial" w:eastAsia="Arial" w:hAnsi="Arial"/>
          <w:b/>
          <w:bCs/>
          <w:color w:val="1B3A4B"/>
          <w:sz w:val="22"/>
          <w:szCs w:val="22"/>
        </w:rPr>
        <w:t xml:space="preserve">6. Buyer Sophistication Is Rising</w:t>
      </w:r>
    </w:p>
    <w:p>
      <w:pPr>
        <w:spacing w:after="120"/>
        <w:jc w:val="left"/>
      </w:pPr>
      <w:r>
        <w:rPr>
          <w:rFonts w:ascii="Arial" w:cs="Arial" w:eastAsia="Arial" w:hAnsi="Arial"/>
          <w:i w:val="false"/>
          <w:iCs w:val="false"/>
          <w:color w:val="333333"/>
          <w:sz w:val="21"/>
          <w:szCs w:val="21"/>
        </w:rPr>
        <w:t xml:space="preserve">Buyers are increasingly framework-driven (ICVCM, CCP, CORSIA), want disaggregated removals and reductions data, and are evaluating on certainty and scale. The disconnect between lax corporate reporting oversight and stringent credit-level scrutiny remains a notable tension.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Charm Industrial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i/>
        <w:iCs/>
        <w:color w:val="555555"/>
        <w:sz w:val="16"/>
        <w:szCs w:val="16"/>
      </w:rPr>
      <w:t xml:space="preserve">NACW 2026 Report-Back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2026-04-03T16:07:44.581Z</dcterms:created>
  <dcterms:modified xsi:type="dcterms:W3CDTF">2026-04-03T16:07:44.583Z</dcterms:modified>
</cp:coreProperties>
</file>

<file path=docProps/custom.xml><?xml version="1.0" encoding="utf-8"?>
<Properties xmlns="http://schemas.openxmlformats.org/officeDocument/2006/custom-properties" xmlns:vt="http://schemas.openxmlformats.org/officeDocument/2006/docPropsVTypes"/>
</file>