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15354" w14:textId="77777777" w:rsidR="00807D8C" w:rsidRDefault="00000000">
      <w:pPr>
        <w:spacing w:after="60"/>
      </w:pPr>
      <w:r>
        <w:rPr>
          <w:b/>
          <w:bCs/>
          <w:sz w:val="24"/>
          <w:szCs w:val="24"/>
        </w:rPr>
        <w:t>CHARM INDUSTRIAL</w:t>
      </w:r>
    </w:p>
    <w:p w14:paraId="1B767770" w14:textId="77777777" w:rsidR="00807D8C" w:rsidRDefault="00000000">
      <w:pPr>
        <w:spacing w:after="200"/>
      </w:pPr>
      <w:r>
        <w:rPr>
          <w:b/>
          <w:bCs/>
          <w:sz w:val="32"/>
          <w:szCs w:val="32"/>
        </w:rPr>
        <w:t>Response to Isometric: Decoupling Durability Monitoring from Verification</w:t>
      </w:r>
    </w:p>
    <w:p w14:paraId="2AD0C6D3" w14:textId="77777777" w:rsidR="00807D8C" w:rsidRDefault="00000000">
      <w:pPr>
        <w:spacing w:after="60"/>
      </w:pPr>
      <w:r>
        <w:rPr>
          <w:b/>
          <w:bCs/>
        </w:rPr>
        <w:t xml:space="preserve">Date: </w:t>
      </w:r>
      <w:r>
        <w:t>April 28, 2026</w:t>
      </w:r>
    </w:p>
    <w:p w14:paraId="26685CE7" w14:textId="77777777" w:rsidR="00807D8C" w:rsidRDefault="00000000">
      <w:pPr>
        <w:spacing w:after="60"/>
      </w:pPr>
      <w:r>
        <w:rPr>
          <w:b/>
          <w:bCs/>
        </w:rPr>
        <w:t xml:space="preserve">From: </w:t>
      </w:r>
      <w:r>
        <w:t>Max Lavine, Carbon Protocol and Verification Lead, Charm Industrial</w:t>
      </w:r>
    </w:p>
    <w:p w14:paraId="0CC0D201" w14:textId="77777777" w:rsidR="00807D8C" w:rsidRDefault="00000000">
      <w:pPr>
        <w:spacing w:after="60"/>
      </w:pPr>
      <w:r>
        <w:rPr>
          <w:b/>
          <w:bCs/>
        </w:rPr>
        <w:t xml:space="preserve">To: </w:t>
      </w:r>
      <w:r>
        <w:t>Isometric Science Team</w:t>
      </w:r>
    </w:p>
    <w:p w14:paraId="5C4519CC" w14:textId="77777777" w:rsidR="00807D8C" w:rsidRDefault="00000000">
      <w:pPr>
        <w:spacing w:after="240"/>
      </w:pPr>
      <w:r>
        <w:rPr>
          <w:b/>
          <w:bCs/>
        </w:rPr>
        <w:t xml:space="preserve">Re: </w:t>
      </w:r>
      <w:r>
        <w:t>Bio-oil Monitoring Reporting Requirements &amp; Decoupling from Verification (April 2026 proposal)</w:t>
      </w:r>
    </w:p>
    <w:p w14:paraId="61FB921B" w14:textId="77777777" w:rsidR="00807D8C" w:rsidRDefault="00000000">
      <w:pPr>
        <w:pStyle w:val="Heading1"/>
      </w:pPr>
      <w:r>
        <w:t>Purpose</w:t>
      </w:r>
    </w:p>
    <w:p w14:paraId="0B20FE56" w14:textId="0FC27CAA" w:rsidR="00807D8C" w:rsidRDefault="00000000">
      <w:pPr>
        <w:spacing w:after="140" w:line="300" w:lineRule="auto"/>
      </w:pPr>
      <w:r>
        <w:t xml:space="preserve">This note responds to your proposal to decouple durability monitoring from individual verification events under the Bio-oil Geological Storage protocol. Charm is supportive of the direction in principle. To make implementation work cleanly we need to align on </w:t>
      </w:r>
      <w:r w:rsidR="00E65787">
        <w:t>a few</w:t>
      </w:r>
      <w:r>
        <w:t xml:space="preserve"> practical points, which are set out below. We are happy to work through any of them on a call.</w:t>
      </w:r>
    </w:p>
    <w:p w14:paraId="0BC9EBA2" w14:textId="77777777" w:rsidR="00807D8C" w:rsidRDefault="00000000">
      <w:pPr>
        <w:pStyle w:val="Heading1"/>
      </w:pPr>
      <w:r>
        <w:t>Charm's Position</w:t>
      </w:r>
    </w:p>
    <w:p w14:paraId="5C6156C7" w14:textId="7C4A4213" w:rsidR="00807D8C" w:rsidRDefault="00000000">
      <w:pPr>
        <w:spacing w:after="140" w:line="300" w:lineRule="auto"/>
      </w:pPr>
      <w:r>
        <w:t xml:space="preserve">Charm endorses the proposed shift to a fixed six-month durability monitoring cadence, decoupled from credit verifications. The scientific rationale is sound — a reversal would affect all carbon stored across a project's lifetime, not just the most recent reporting period — and a predictable monitoring rhythm gives Charm, Isometric, and the VVB earlier visibility into operational data than the current verification-coupled model allows. </w:t>
      </w:r>
    </w:p>
    <w:p w14:paraId="1D4B0196" w14:textId="77777777" w:rsidR="00807D8C" w:rsidRDefault="00000000">
      <w:pPr>
        <w:spacing w:after="140" w:line="300" w:lineRule="auto"/>
      </w:pPr>
      <w:r>
        <w:t>Endorsement is conditional on alignment around the implementation items below. Each is meant to be a discrete decision or definition we settle once, in writing, before the first six-month cycle begins.</w:t>
      </w:r>
    </w:p>
    <w:p w14:paraId="6188A38B" w14:textId="77777777" w:rsidR="00807D8C" w:rsidRDefault="00000000">
      <w:pPr>
        <w:pStyle w:val="Heading1"/>
      </w:pPr>
      <w:r>
        <w:t>Implementation Alignment Items</w:t>
      </w:r>
    </w:p>
    <w:p w14:paraId="51F6F359" w14:textId="77777777" w:rsidR="00807D8C" w:rsidRDefault="00000000">
      <w:pPr>
        <w:pStyle w:val="Heading2"/>
      </w:pPr>
      <w:r>
        <w:t>1. Categorization of monitoring data — pin it in the agreement</w:t>
      </w:r>
    </w:p>
    <w:p w14:paraId="09E26DBC" w14:textId="77777777" w:rsidR="00807D8C" w:rsidRDefault="00000000">
      <w:pPr>
        <w:spacing w:after="140" w:line="300" w:lineRule="auto"/>
      </w:pPr>
      <w:r>
        <w:t>The data table in the cover note is illustrative and a reasonable first cut, but several borderline items need explicit assignment to one bucket or the other before the first cycle. The table needs to be promoted into the operational agreement (or successor protocol text) with each line item assigned to either "each verification" or "six-monthly Monitoring Report." Specifically:</w:t>
      </w:r>
    </w:p>
    <w:p w14:paraId="4E9874F3" w14:textId="77777777" w:rsidR="00807D8C" w:rsidRDefault="00000000">
      <w:pPr>
        <w:pStyle w:val="ListParagraph"/>
        <w:numPr>
          <w:ilvl w:val="0"/>
          <w:numId w:val="2"/>
        </w:numPr>
        <w:spacing w:after="80"/>
      </w:pPr>
      <w:r>
        <w:t>Wellhead injection pressure data — operational and tied to each batch (and arguably to credit-verification quantification) versus reservoir post-injection pressure, which is durability-side. Today these are commingled; the protocol should split them explicitly.</w:t>
      </w:r>
    </w:p>
    <w:p w14:paraId="49CB7C32" w14:textId="77777777" w:rsidR="00807D8C" w:rsidRDefault="00000000">
      <w:pPr>
        <w:pStyle w:val="ListParagraph"/>
        <w:numPr>
          <w:ilvl w:val="0"/>
          <w:numId w:val="2"/>
        </w:numPr>
        <w:spacing w:after="80"/>
      </w:pPr>
      <w:r>
        <w:t>Embodied emissions — distinguish between the LCA refresh / EF update (six-monthly confirmation) and the application of EFs to specific batches (which stays at credit verification).</w:t>
      </w:r>
    </w:p>
    <w:p w14:paraId="1E6875EA" w14:textId="77777777" w:rsidR="00807D8C" w:rsidRDefault="00000000">
      <w:pPr>
        <w:pStyle w:val="ListParagraph"/>
        <w:numPr>
          <w:ilvl w:val="0"/>
          <w:numId w:val="2"/>
        </w:numPr>
        <w:spacing w:after="80"/>
      </w:pPr>
      <w:r>
        <w:lastRenderedPageBreak/>
        <w:t>Transportation — routine distance/mass/fuel tracking stays at verification, but transportation incidents (e.g., tanker spills) presumably land in the six-monthly Incident &amp; Excursion Log. Make this explicit.</w:t>
      </w:r>
    </w:p>
    <w:p w14:paraId="28804D21" w14:textId="77777777" w:rsidR="00807D8C" w:rsidRDefault="00000000">
      <w:pPr>
        <w:spacing w:after="140" w:line="300" w:lineRule="auto"/>
      </w:pPr>
      <w:r>
        <w:t>We are happy to work with the Isometric team on a draft of the categorization table; we'd ask that the version that lands in the agreement be specific enough that Charm, the VVB, and any auditor would assign each data element identically without further interpretation.</w:t>
      </w:r>
    </w:p>
    <w:p w14:paraId="5D1BAA87" w14:textId="77777777" w:rsidR="00807D8C" w:rsidRDefault="00000000">
      <w:pPr>
        <w:pStyle w:val="Heading2"/>
      </w:pPr>
      <w:r>
        <w:t>2. Filing window — index to external regulatory data turnaround</w:t>
      </w:r>
    </w:p>
    <w:p w14:paraId="0969D816" w14:textId="77777777" w:rsidR="00807D8C" w:rsidRDefault="00000000">
      <w:pPr>
        <w:spacing w:after="140" w:line="300" w:lineRule="auto"/>
      </w:pPr>
      <w:r>
        <w:t>A flat 30-day filing window after period end will not work in practice. Where monitoring data depends on third-party regulatory turnaround — KDHE is the cleanest example — Charm submits monthly reporting to the regulator on a one-month lag, and it can take additional weeks to receive that material back via public records request. Under the proposed schedule, a Jan–Jun report due July 30 would not yet have June's regulator-reviewed monitoring back from public records, never mind a chance to reconcile and QA it.</w:t>
      </w:r>
    </w:p>
    <w:p w14:paraId="3C936BB4" w14:textId="77777777" w:rsidR="00807D8C" w:rsidRDefault="00000000">
      <w:pPr>
        <w:spacing w:after="140" w:line="300" w:lineRule="auto"/>
      </w:pPr>
      <w:r>
        <w:t>Charm proposes one of two clean fixes:</w:t>
      </w:r>
    </w:p>
    <w:p w14:paraId="7E97BC91" w14:textId="77777777" w:rsidR="00807D8C" w:rsidRDefault="00000000">
      <w:pPr>
        <w:pStyle w:val="ListParagraph"/>
        <w:numPr>
          <w:ilvl w:val="0"/>
          <w:numId w:val="2"/>
        </w:numPr>
        <w:spacing w:after="80"/>
      </w:pPr>
      <w:r>
        <w:t>Lengthen the filing window to 60 days from period end, with explicit acknowledgment that external regulatory data covering the final month of the period may carry into the next cycle if it is not yet available; or</w:t>
      </w:r>
    </w:p>
    <w:p w14:paraId="1E2A0143" w14:textId="77777777" w:rsidR="00807D8C" w:rsidRDefault="00000000">
      <w:pPr>
        <w:pStyle w:val="ListParagraph"/>
        <w:numPr>
          <w:ilvl w:val="0"/>
          <w:numId w:val="2"/>
        </w:numPr>
        <w:spacing w:after="80"/>
      </w:pPr>
      <w:r>
        <w:t xml:space="preserve">Adopt a one-period-lag convention where </w:t>
      </w:r>
      <w:proofErr w:type="gramStart"/>
      <w:r>
        <w:t>externally-sourced</w:t>
      </w:r>
      <w:proofErr w:type="gramEnd"/>
      <w:r>
        <w:t xml:space="preserve"> regulatory data covering month N is reported in the period that includes month N+1 or N+2, depending on regulator turnaround for that data stream.</w:t>
      </w:r>
    </w:p>
    <w:p w14:paraId="4C7F211C" w14:textId="77777777" w:rsidR="00807D8C" w:rsidRDefault="00000000">
      <w:pPr>
        <w:spacing w:after="140" w:line="300" w:lineRule="auto"/>
      </w:pPr>
      <w:r>
        <w:t xml:space="preserve">Either approach is fine; we'd ask that whichever is chosen </w:t>
      </w:r>
      <w:proofErr w:type="gramStart"/>
      <w:r>
        <w:t>be</w:t>
      </w:r>
      <w:proofErr w:type="gramEnd"/>
      <w:r>
        <w:t xml:space="preserve"> specified in the agreement rather than left to per-cycle negotiation.</w:t>
      </w:r>
    </w:p>
    <w:p w14:paraId="44260ABC" w14:textId="77777777" w:rsidR="00807D8C" w:rsidRDefault="00000000">
      <w:pPr>
        <w:pStyle w:val="Heading2"/>
      </w:pPr>
      <w:r>
        <w:t>3. Reversal-investigation workflow — define explicitly</w:t>
      </w:r>
    </w:p>
    <w:p w14:paraId="0276A6CB" w14:textId="77777777" w:rsidR="00807D8C" w:rsidRDefault="00000000">
      <w:pPr>
        <w:spacing w:after="140" w:line="300" w:lineRule="auto"/>
      </w:pPr>
      <w:r>
        <w:t>The proposal correctly notes that a reversal indicator could surface in a Monitoring Report rather than at a credit verification. The legal and contractual blast radius of a reversal is unchanged by the proposal, but the procedural surface is new. Charm would ask Isometric to define, in the agreement, the workflow that is triggered when a Monitoring Report identifies a possible reversal, including:</w:t>
      </w:r>
    </w:p>
    <w:p w14:paraId="1CE95AB8" w14:textId="77777777" w:rsidR="00807D8C" w:rsidRDefault="00000000">
      <w:pPr>
        <w:pStyle w:val="ListParagraph"/>
        <w:numPr>
          <w:ilvl w:val="0"/>
          <w:numId w:val="2"/>
        </w:numPr>
        <w:spacing w:after="80"/>
      </w:pPr>
      <w:r>
        <w:t>Trigger criteria (what constitutes a "possible reversal" sufficient to open an investigation).</w:t>
      </w:r>
    </w:p>
    <w:p w14:paraId="3F49F553" w14:textId="77777777" w:rsidR="00807D8C" w:rsidRDefault="00000000">
      <w:pPr>
        <w:pStyle w:val="ListParagraph"/>
        <w:numPr>
          <w:ilvl w:val="0"/>
          <w:numId w:val="2"/>
        </w:numPr>
        <w:spacing w:after="80"/>
      </w:pPr>
      <w:r>
        <w:t>Investigation timeline and milestones.</w:t>
      </w:r>
    </w:p>
    <w:p w14:paraId="13554FA4" w14:textId="77777777" w:rsidR="00807D8C" w:rsidRDefault="00000000">
      <w:pPr>
        <w:pStyle w:val="ListParagraph"/>
        <w:numPr>
          <w:ilvl w:val="0"/>
          <w:numId w:val="2"/>
        </w:numPr>
        <w:spacing w:after="80"/>
      </w:pPr>
      <w:r>
        <w:t>Whether and how investigation status interacts with in-flight credit verifications (freeze, run-in-parallel, or other).</w:t>
      </w:r>
    </w:p>
    <w:p w14:paraId="4ADCFBED" w14:textId="77777777" w:rsidR="00807D8C" w:rsidRDefault="00000000">
      <w:pPr>
        <w:pStyle w:val="ListParagraph"/>
        <w:numPr>
          <w:ilvl w:val="0"/>
          <w:numId w:val="2"/>
        </w:numPr>
        <w:spacing w:after="80"/>
      </w:pPr>
      <w:r>
        <w:t xml:space="preserve">Buffer pool </w:t>
      </w:r>
      <w:proofErr w:type="gramStart"/>
      <w:r>
        <w:t>draw</w:t>
      </w:r>
      <w:proofErr w:type="gramEnd"/>
      <w:r>
        <w:t xml:space="preserve"> mechanics if a reversal is confirmed.</w:t>
      </w:r>
    </w:p>
    <w:p w14:paraId="1AB99987" w14:textId="77777777" w:rsidR="00807D8C" w:rsidRDefault="00000000">
      <w:pPr>
        <w:pStyle w:val="ListParagraph"/>
        <w:numPr>
          <w:ilvl w:val="0"/>
          <w:numId w:val="2"/>
        </w:numPr>
        <w:spacing w:after="80"/>
      </w:pPr>
      <w:r>
        <w:t>Stakeholder notification requirements (Charm, VVB, Isometric, public registry).</w:t>
      </w:r>
    </w:p>
    <w:p w14:paraId="5D438F22" w14:textId="77777777" w:rsidR="00807D8C" w:rsidRDefault="00000000">
      <w:pPr>
        <w:spacing w:after="140" w:line="300" w:lineRule="auto"/>
      </w:pPr>
      <w:r>
        <w:t xml:space="preserve">None of this is conceptually </w:t>
      </w:r>
      <w:proofErr w:type="gramStart"/>
      <w:r>
        <w:t>new, but</w:t>
      </w:r>
      <w:proofErr w:type="gramEnd"/>
      <w:r>
        <w:t xml:space="preserve"> pinning it down in writing — rather than improvising under pressure — protects everyone.</w:t>
      </w:r>
    </w:p>
    <w:p w14:paraId="03D6E2F2" w14:textId="77777777" w:rsidR="00807D8C" w:rsidRDefault="00000000">
      <w:pPr>
        <w:pStyle w:val="Heading2"/>
      </w:pPr>
      <w:r>
        <w:t>4. Cross-pathway data sharing — scope correctly</w:t>
      </w:r>
    </w:p>
    <w:p w14:paraId="65CD1E5A" w14:textId="77777777" w:rsidR="00807D8C" w:rsidRDefault="00000000">
      <w:pPr>
        <w:spacing w:after="140" w:line="300" w:lineRule="auto"/>
      </w:pPr>
      <w:r>
        <w:lastRenderedPageBreak/>
        <w:t>The proposal cites duplication of effort across pathways (bio-oil and biochar) as one rationale for the change. For Charm specifically, the shared data set is real but bounded. Charm-produced WODO, Aqueous, and Charm biochar all originate from a single pyrolysis operation at Fort Lupton, Colorado — pyrolysis production parameters, feedstock characterization, facility energy metering, embodied emissions for shared equipment, and outbound transport from Fort Lupton are genuinely shared data points across the bio-oil and biochar pathways. Submitting these once and referencing them from both protocol streams is a meaningful and welcome efficiency.</w:t>
      </w:r>
    </w:p>
    <w:p w14:paraId="091244A1" w14:textId="77777777" w:rsidR="00807D8C" w:rsidRDefault="00000000">
      <w:pPr>
        <w:spacing w:after="140" w:line="300" w:lineRule="auto"/>
      </w:pPr>
      <w:r>
        <w:t>Bio-oil sourced from AECN, Charm's third-party bio-oil supplier in Quebec, has its own upstream chain and stays in its own pathway-specific bucket — no double-submission expected or appropriate.</w:t>
      </w:r>
    </w:p>
    <w:p w14:paraId="1CDF977A" w14:textId="77777777" w:rsidR="00807D8C" w:rsidRDefault="00000000">
      <w:pPr>
        <w:spacing w:after="140" w:line="300" w:lineRule="auto"/>
      </w:pPr>
      <w:r>
        <w:t>Charm would ask that the agreement scope cross-pathway sharing explicitly: a defined list of Fort Lupton-origin upstream data that is submitted once per Monitoring Report and referenced from both projects, with all other data — including AECN-sourced bio-oil chain — handled per-protocol. This avoids both duplication on the shared side and false sharing on the third-party side.</w:t>
      </w:r>
    </w:p>
    <w:p w14:paraId="48C2E5A2" w14:textId="77777777" w:rsidR="00807D8C" w:rsidRDefault="00000000">
      <w:pPr>
        <w:pStyle w:val="Heading2"/>
      </w:pPr>
      <w:r>
        <w:t>5. Vaulted (Hutchinson, KS) — post-injection / decommissioning treatment</w:t>
      </w:r>
    </w:p>
    <w:p w14:paraId="77F0482C" w14:textId="77777777" w:rsidR="00807D8C" w:rsidRDefault="00000000">
      <w:pPr>
        <w:spacing w:after="140" w:line="300" w:lineRule="auto"/>
      </w:pPr>
      <w:r>
        <w:t>Charm's salt-cavern operations at the Vaulted Deep site (Hutchinson, Kansas) wound down in August 2025; current obligations there are post-injection / decommissioning monitoring. Some of these obligations have measurement frequencies that do not align with a six-month report cycle — biennial elevation surveys, five-year mechanical integrity tests, event-driven items such as workover plans.</w:t>
      </w:r>
    </w:p>
    <w:p w14:paraId="580DB565" w14:textId="77777777" w:rsidR="00807D8C" w:rsidRDefault="00000000">
      <w:pPr>
        <w:spacing w:after="140" w:line="300" w:lineRule="auto"/>
      </w:pPr>
      <w:r>
        <w:t>Charm proposes a clean rule for any site in a similar post-injection state: if a scheduled test or measurement falls within the Monitoring Report period (with adequate buffer for any external regulatory turnaround), it is included in that period's package. If no monitoring activity is scheduled in the period, the Monitoring Report simply states that and confirms compliance with the underlying storage module's measurement schedule. We would ask that this rule be written into the agreement so that we don't end up generating empty reports or, conversely, missing test deliverables that fall on cycle boundaries.</w:t>
      </w:r>
    </w:p>
    <w:p w14:paraId="20F4D5CF" w14:textId="77777777" w:rsidR="00807D8C" w:rsidRDefault="00000000">
      <w:pPr>
        <w:pStyle w:val="Heading2"/>
      </w:pPr>
      <w:r>
        <w:t>6. Monitoring verification — deliverable, scope, and Charm-side response windows</w:t>
      </w:r>
    </w:p>
    <w:p w14:paraId="6BBB322D" w14:textId="77777777" w:rsidR="00807D8C" w:rsidRDefault="00000000">
      <w:pPr>
        <w:spacing w:after="140" w:line="300" w:lineRule="auto"/>
      </w:pPr>
      <w:r>
        <w:t>The proposal introduces a VVB-conducted monitoring verification on each six-monthly report. From Charm's side we'd ask Isometric to define:</w:t>
      </w:r>
    </w:p>
    <w:p w14:paraId="0780C93C" w14:textId="77777777" w:rsidR="00807D8C" w:rsidRDefault="00000000">
      <w:pPr>
        <w:pStyle w:val="ListParagraph"/>
        <w:numPr>
          <w:ilvl w:val="0"/>
          <w:numId w:val="2"/>
        </w:numPr>
        <w:spacing w:after="80"/>
      </w:pPr>
      <w:r>
        <w:t>Whether the monitoring verification produces a public deliverable on the registry (a "Monitoring Statement" analogous to the GHG Statement, a findings letter, or another artifact), and what its status is relative to existing GHG Statements.</w:t>
      </w:r>
    </w:p>
    <w:p w14:paraId="72B4B106" w14:textId="77777777" w:rsidR="00807D8C" w:rsidRDefault="00000000">
      <w:pPr>
        <w:pStyle w:val="ListParagraph"/>
        <w:numPr>
          <w:ilvl w:val="0"/>
          <w:numId w:val="2"/>
        </w:numPr>
        <w:spacing w:after="80"/>
      </w:pPr>
      <w:r>
        <w:lastRenderedPageBreak/>
        <w:t>The expected scope and response windows for evidence requests directed at Charm during a monitoring verification, so Charm can plan accordingly. We would expect symmetry with the existing credit-verification SLA framework rather than a parallel set of timelines.</w:t>
      </w:r>
    </w:p>
    <w:p w14:paraId="18F83628" w14:textId="77777777" w:rsidR="00807D8C" w:rsidRDefault="00000000">
      <w:pPr>
        <w:pStyle w:val="ListParagraph"/>
        <w:numPr>
          <w:ilvl w:val="0"/>
          <w:numId w:val="2"/>
        </w:numPr>
        <w:spacing w:after="80"/>
      </w:pPr>
      <w:r>
        <w:t>Whether the same VVB engagement on credit verifications also handles monitoring verifications, or whether they may be handled by different VVB teams. (We assume VVB engagement scope sits between Isometric and the VVB; flagging the question only because it has implications for Charm's documentation packaging.)</w:t>
      </w:r>
    </w:p>
    <w:p w14:paraId="0542637E" w14:textId="77777777" w:rsidR="00807D8C" w:rsidRDefault="00000000">
      <w:pPr>
        <w:pStyle w:val="Heading2"/>
      </w:pPr>
      <w:r>
        <w:t>7. First reporting cycle — backfill plan</w:t>
      </w:r>
    </w:p>
    <w:p w14:paraId="5EEF8CC6" w14:textId="77777777" w:rsidR="00807D8C" w:rsidRDefault="00000000">
      <w:pPr>
        <w:spacing w:after="140" w:line="300" w:lineRule="auto"/>
      </w:pPr>
      <w:r>
        <w:t>Charm has already submitted durability data on a per-RP basis through Statement 13 (Feb–Mar 2026). For the cut-over, we'd propose that the first Monitoring Report covers H1 2026 (Jan–Jun 2026) on a fresh-slate basis — i.e., no retrospective re-packaging of data already submitted under RP-12 and RP-13 — with Charm and Isometric jointly confirming that the existing submissions stand for those reporting periods. Vaulted post-injection data already submitted to KDHE and Isometric folds in under the post-injection treatment described in item 5.</w:t>
      </w:r>
    </w:p>
    <w:p w14:paraId="26F86405" w14:textId="77777777" w:rsidR="00807D8C" w:rsidRDefault="00000000">
      <w:pPr>
        <w:spacing w:after="140" w:line="300" w:lineRule="auto"/>
      </w:pPr>
      <w:r>
        <w:t xml:space="preserve">We are flexible on the exact cut-over </w:t>
      </w:r>
      <w:proofErr w:type="gramStart"/>
      <w:r>
        <w:t>date, but</w:t>
      </w:r>
      <w:proofErr w:type="gramEnd"/>
      <w:r>
        <w:t xml:space="preserve"> would ask that it be settled before drafting the first Monitoring Report rather than after.</w:t>
      </w:r>
    </w:p>
    <w:p w14:paraId="2221D05C" w14:textId="77777777" w:rsidR="00807D8C" w:rsidRDefault="00000000">
      <w:pPr>
        <w:pStyle w:val="Heading2"/>
      </w:pPr>
      <w:r>
        <w:t>8. Vehicle for the agreement</w:t>
      </w:r>
    </w:p>
    <w:p w14:paraId="06432A46" w14:textId="77777777" w:rsidR="00807D8C" w:rsidRDefault="00000000">
      <w:pPr>
        <w:spacing w:after="140" w:line="300" w:lineRule="auto"/>
      </w:pPr>
      <w:r>
        <w:t>Our understanding is that this is intended as an operational agreement under the existing Bio-oil Geological Storage protocol rather than a protocol module version bump. That is workable for Charm and avoids the §2.4.5 protocol-adoption-at-renewal question entirely. We would ask that the categorization table, filing window convention, reversal-investigation workflow, cross-pathway sharing scope, and Vaulted post-injection convention all live in a single signed document with the same operational status as the existing SLA — written, dated, and referenceable — rather than living in email threads or in our respective notes.</w:t>
      </w:r>
    </w:p>
    <w:p w14:paraId="59B97288" w14:textId="77777777" w:rsidR="00807D8C" w:rsidRDefault="00000000">
      <w:pPr>
        <w:pStyle w:val="Heading1"/>
      </w:pPr>
      <w:r>
        <w:t>Next steps</w:t>
      </w:r>
    </w:p>
    <w:p w14:paraId="3A6BA09A" w14:textId="77777777" w:rsidR="00807D8C" w:rsidRDefault="00000000">
      <w:pPr>
        <w:spacing w:after="140" w:line="300" w:lineRule="auto"/>
      </w:pPr>
      <w:r>
        <w:t>If the above is acceptable as a basis for proceeding, Charm proposes the following path: (</w:t>
      </w:r>
      <w:proofErr w:type="spellStart"/>
      <w:r>
        <w:t>i</w:t>
      </w:r>
      <w:proofErr w:type="spellEnd"/>
      <w:r>
        <w:t>) a working call to walk through the eight items, (ii) Isometric to circulate a draft of the operational agreement incorporating the resolutions, (iii) Charm to review and confirm. We would aim to have the agreement settled before the start of the first Monitoring Report period so that the cut-over is clean.</w:t>
      </w:r>
    </w:p>
    <w:p w14:paraId="4DFCFB94" w14:textId="77777777" w:rsidR="00807D8C" w:rsidRDefault="00000000">
      <w:pPr>
        <w:spacing w:after="140" w:line="300" w:lineRule="auto"/>
      </w:pPr>
      <w:r>
        <w:t>Happy to schedule the call at your convenience.</w:t>
      </w:r>
    </w:p>
    <w:p w14:paraId="7D4C291D" w14:textId="77777777" w:rsidR="00807D8C" w:rsidRDefault="00807D8C">
      <w:pPr>
        <w:spacing w:before="240" w:after="120"/>
      </w:pPr>
    </w:p>
    <w:p w14:paraId="6DD24142" w14:textId="77777777" w:rsidR="00807D8C" w:rsidRDefault="00000000">
      <w:pPr>
        <w:spacing w:after="60"/>
      </w:pPr>
      <w:r>
        <w:t>Max Lavine</w:t>
      </w:r>
    </w:p>
    <w:p w14:paraId="361E6741" w14:textId="77777777" w:rsidR="00807D8C" w:rsidRDefault="00000000">
      <w:pPr>
        <w:spacing w:after="60"/>
      </w:pPr>
      <w:r>
        <w:t>Carbon Protocol and Verification Lead</w:t>
      </w:r>
    </w:p>
    <w:p w14:paraId="476C0034" w14:textId="77777777" w:rsidR="00807D8C" w:rsidRDefault="00000000">
      <w:pPr>
        <w:spacing w:after="60"/>
      </w:pPr>
      <w:r>
        <w:t>Charm Industrial</w:t>
      </w:r>
    </w:p>
    <w:p w14:paraId="1550B1B2" w14:textId="77777777" w:rsidR="00807D8C" w:rsidRDefault="00000000">
      <w:r>
        <w:t>max@charmindustrial.com</w:t>
      </w:r>
    </w:p>
    <w:sectPr w:rsidR="00807D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50F3D"/>
    <w:multiLevelType w:val="hybridMultilevel"/>
    <w:tmpl w:val="73223FDA"/>
    <w:lvl w:ilvl="0" w:tplc="F314D91A">
      <w:start w:val="1"/>
      <w:numFmt w:val="bullet"/>
      <w:lvlText w:val="•"/>
      <w:lvlJc w:val="left"/>
      <w:pPr>
        <w:ind w:left="720" w:hanging="360"/>
      </w:pPr>
    </w:lvl>
    <w:lvl w:ilvl="1" w:tplc="3E8CEA42">
      <w:start w:val="1"/>
      <w:numFmt w:val="bullet"/>
      <w:lvlText w:val="◦"/>
      <w:lvlJc w:val="left"/>
      <w:pPr>
        <w:ind w:left="1440" w:hanging="360"/>
      </w:pPr>
    </w:lvl>
    <w:lvl w:ilvl="2" w:tplc="9880E3D6">
      <w:numFmt w:val="decimal"/>
      <w:lvlText w:val=""/>
      <w:lvlJc w:val="left"/>
    </w:lvl>
    <w:lvl w:ilvl="3" w:tplc="2CDAF174">
      <w:numFmt w:val="decimal"/>
      <w:lvlText w:val=""/>
      <w:lvlJc w:val="left"/>
    </w:lvl>
    <w:lvl w:ilvl="4" w:tplc="AEE4DFAE">
      <w:numFmt w:val="decimal"/>
      <w:lvlText w:val=""/>
      <w:lvlJc w:val="left"/>
    </w:lvl>
    <w:lvl w:ilvl="5" w:tplc="D59C5BF4">
      <w:numFmt w:val="decimal"/>
      <w:lvlText w:val=""/>
      <w:lvlJc w:val="left"/>
    </w:lvl>
    <w:lvl w:ilvl="6" w:tplc="033423B2">
      <w:numFmt w:val="decimal"/>
      <w:lvlText w:val=""/>
      <w:lvlJc w:val="left"/>
    </w:lvl>
    <w:lvl w:ilvl="7" w:tplc="AF76AE56">
      <w:numFmt w:val="decimal"/>
      <w:lvlText w:val=""/>
      <w:lvlJc w:val="left"/>
    </w:lvl>
    <w:lvl w:ilvl="8" w:tplc="C9C28E6C">
      <w:numFmt w:val="decimal"/>
      <w:lvlText w:val=""/>
      <w:lvlJc w:val="left"/>
    </w:lvl>
  </w:abstractNum>
  <w:abstractNum w:abstractNumId="1" w15:restartNumberingAfterBreak="0">
    <w:nsid w:val="625A654A"/>
    <w:multiLevelType w:val="hybridMultilevel"/>
    <w:tmpl w:val="06ECF304"/>
    <w:lvl w:ilvl="0" w:tplc="9E385A3C">
      <w:start w:val="1"/>
      <w:numFmt w:val="bullet"/>
      <w:lvlText w:val="●"/>
      <w:lvlJc w:val="left"/>
      <w:pPr>
        <w:ind w:left="720" w:hanging="360"/>
      </w:pPr>
    </w:lvl>
    <w:lvl w:ilvl="1" w:tplc="372A9C9E">
      <w:start w:val="1"/>
      <w:numFmt w:val="bullet"/>
      <w:lvlText w:val="○"/>
      <w:lvlJc w:val="left"/>
      <w:pPr>
        <w:ind w:left="1440" w:hanging="360"/>
      </w:pPr>
    </w:lvl>
    <w:lvl w:ilvl="2" w:tplc="EC3C4782">
      <w:start w:val="1"/>
      <w:numFmt w:val="bullet"/>
      <w:lvlText w:val="■"/>
      <w:lvlJc w:val="left"/>
      <w:pPr>
        <w:ind w:left="2160" w:hanging="360"/>
      </w:pPr>
    </w:lvl>
    <w:lvl w:ilvl="3" w:tplc="C5668F56">
      <w:start w:val="1"/>
      <w:numFmt w:val="bullet"/>
      <w:lvlText w:val="●"/>
      <w:lvlJc w:val="left"/>
      <w:pPr>
        <w:ind w:left="2880" w:hanging="360"/>
      </w:pPr>
    </w:lvl>
    <w:lvl w:ilvl="4" w:tplc="5A6AF142">
      <w:start w:val="1"/>
      <w:numFmt w:val="bullet"/>
      <w:lvlText w:val="○"/>
      <w:lvlJc w:val="left"/>
      <w:pPr>
        <w:ind w:left="3600" w:hanging="360"/>
      </w:pPr>
    </w:lvl>
    <w:lvl w:ilvl="5" w:tplc="FD2ABB18">
      <w:start w:val="1"/>
      <w:numFmt w:val="bullet"/>
      <w:lvlText w:val="■"/>
      <w:lvlJc w:val="left"/>
      <w:pPr>
        <w:ind w:left="4320" w:hanging="360"/>
      </w:pPr>
    </w:lvl>
    <w:lvl w:ilvl="6" w:tplc="0EB820BE">
      <w:start w:val="1"/>
      <w:numFmt w:val="bullet"/>
      <w:lvlText w:val="●"/>
      <w:lvlJc w:val="left"/>
      <w:pPr>
        <w:ind w:left="5040" w:hanging="360"/>
      </w:pPr>
    </w:lvl>
    <w:lvl w:ilvl="7" w:tplc="71BCC5D4">
      <w:start w:val="1"/>
      <w:numFmt w:val="bullet"/>
      <w:lvlText w:val="●"/>
      <w:lvlJc w:val="left"/>
      <w:pPr>
        <w:ind w:left="5760" w:hanging="360"/>
      </w:pPr>
    </w:lvl>
    <w:lvl w:ilvl="8" w:tplc="ECB8DB84">
      <w:start w:val="1"/>
      <w:numFmt w:val="bullet"/>
      <w:lvlText w:val="●"/>
      <w:lvlJc w:val="left"/>
      <w:pPr>
        <w:ind w:left="6480" w:hanging="360"/>
      </w:pPr>
    </w:lvl>
  </w:abstractNum>
  <w:num w:numId="1" w16cid:durableId="1758747168">
    <w:abstractNumId w:val="1"/>
    <w:lvlOverride w:ilvl="0">
      <w:startOverride w:val="1"/>
    </w:lvlOverride>
  </w:num>
  <w:num w:numId="2" w16cid:durableId="14631143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D8C"/>
    <w:rsid w:val="00032F80"/>
    <w:rsid w:val="001B0800"/>
    <w:rsid w:val="00807D8C"/>
    <w:rsid w:val="00E65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039333"/>
  <w15:docId w15:val="{995FC5C3-B4CE-164F-B359-2F08CEEB2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sz w:val="32"/>
      <w:szCs w:val="32"/>
    </w:rPr>
  </w:style>
  <w:style w:type="paragraph" w:styleId="Heading2">
    <w:name w:val="heading 2"/>
    <w:uiPriority w:val="9"/>
    <w:unhideWhenUsed/>
    <w:qFormat/>
    <w:pPr>
      <w:spacing w:before="220" w:after="120"/>
      <w:outlineLvl w:val="1"/>
    </w:pPr>
    <w:rPr>
      <w:b/>
      <w:bCs/>
      <w:sz w:val="26"/>
      <w:szCs w:val="26"/>
    </w:rPr>
  </w:style>
  <w:style w:type="paragraph" w:styleId="Heading3">
    <w:name w:val="heading 3"/>
    <w:uiPriority w:val="9"/>
    <w:semiHidden/>
    <w:unhideWhenUsed/>
    <w:qFormat/>
    <w:pPr>
      <w:spacing w:before="18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1523</Words>
  <Characters>8686</Characters>
  <Application>Microsoft Office Word</Application>
  <DocSecurity>0</DocSecurity>
  <Lines>72</Lines>
  <Paragraphs>20</Paragraphs>
  <ScaleCrop>false</ScaleCrop>
  <Company/>
  <LinksUpToDate>false</LinksUpToDate>
  <CharactersWithSpaces>10189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 Bernard Lavine</cp:lastModifiedBy>
  <cp:revision>3</cp:revision>
  <dcterms:created xsi:type="dcterms:W3CDTF">2026-04-28T23:10:00Z</dcterms:created>
  <dcterms:modified xsi:type="dcterms:W3CDTF">2026-04-28T23:22:00Z</dcterms:modified>
</cp:coreProperties>
</file>