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Biochar-for-Coal Substitution: Carbon Accounting Explainer</w:t>
      </w:r>
    </w:p>
    <w:p>
      <w:pPr>
        <w:pStyle w:val="Subtitle"/>
      </w:pPr>
      <w:r>
        <w:t xml:space="preserve">Plain-language walkthrough for non-MRV teams · Internal · April 2026</w:t>
      </w:r>
    </w:p>
    <w:p>
      <w:pPr>
        <w:spacing w:after="120"/>
      </w:pPr>
      <w:r>
        <w:rPr>
          <w:b/>
          <w:bCs/>
        </w:rPr>
        <w:t xml:space="preserve">Companion to: </w:t>
      </w:r>
      <w:r>
        <w:t xml:space="preserve">Implementation Brief, Affidavit v2, Playbook (this set). </w:t>
      </w:r>
      <w:r>
        <w:rPr>
          <w:b/>
          <w:bCs/>
        </w:rPr>
        <w:t xml:space="preserve">Audience: </w:t>
      </w:r>
      <w:r>
        <w:t xml:space="preserve">Materials/Commercial and Operations teams. The math behind "why does this decision affect bio-oil credits?"</w:t>
      </w:r>
    </w:p>
    <w:p>
      <w:pPr>
        <w:pStyle w:val="Heading1"/>
      </w:pPr>
      <w:r>
        <w:t xml:space="preserve">Why this matters to materials and operations</w:t>
      </w:r>
    </w:p>
    <w:p>
      <w:pPr>
        <w:spacing w:after="120"/>
      </w:pPr>
      <w:r>
        <w:t xml:space="preserve">Most decisions Materials/Commercial and Operations make about biochar fate — declared by Production Period close or changed mid-stream because of a customer commit — flow into how Charm's per-PP bio-oil CI is calculated, and from there into how bio-oil credits get netted at injection. Getting the declaration right at PP close, and getting the corrective action right when actuals diverge, is what allows Charm to capture the full benefit of the substitution method (lower bio-oil CI, more credits at injection) without exposing already-issued credits to overcrediting claims.</w:t>
      </w:r>
    </w:p>
    <w:p>
      <w:pPr>
        <w:spacing w:after="120"/>
      </w:pPr>
      <w:r>
        <w:rPr>
          <w:b/>
          <w:bCs/>
        </w:rPr>
        <w:t xml:space="preserve">A note on Production Periods vs. Reporting Periods. </w:t>
      </w:r>
      <w:r>
        <w:t xml:space="preserve">Charm's accounting has two distinct cycles. The </w:t>
      </w:r>
      <w:r>
        <w:rPr>
          <w:b/>
          <w:bCs/>
        </w:rPr>
        <w:t xml:space="preserve">Production Period (PP) </w:t>
      </w:r>
      <w:r>
        <w:t xml:space="preserve">— typically a month — is when raw production emissions are totaled and allocated between bio-oil and biochar via Procedure 3 or Procedure 4, giving each PP's products a unique cradle-to-gate CI. That CI travels with the product. The </w:t>
      </w:r>
      <w:r>
        <w:rPr>
          <w:b/>
          <w:bCs/>
        </w:rPr>
        <w:t xml:space="preserve">Reporting Period (RP) </w:t>
      </w:r>
      <w:r>
        <w:t xml:space="preserve">is when actual removals are reported; the cradle-to-gate CI is consolidated into a single value pulled from the relevant PP, and emissions are netted against the removal at that point. Predict-and-adjust operates at the PP level — the declaration sets the PP CI. True-up penalties are then booked against subsequent bio-oil RPs because that's where bio-oil emissions are actually realized in the books.</w:t>
      </w:r>
    </w:p>
    <w:p>
      <w:pPr>
        <w:spacing w:after="120"/>
      </w:pPr>
      <w:r>
        <w:t xml:space="preserve">This explainer walks through the two allocation methods, why we picked a predict-and-adjust framework, what 0% uncertainty discount requires, and where penalties land in each of the four scenarios that can arise. It is deliberately non-technical — the formal procedure references are in Section 6.1 of the Isometric GHG Accounting Module, and the canonical examples are in the scenario matrix and the simulator sheet linked at the end.</w:t>
      </w:r>
    </w:p>
    <w:p>
      <w:pPr>
        <w:pStyle w:val="Heading1"/>
      </w:pPr>
      <w:r>
        <w:t xml:space="preserve">Two methods of co-product allocation</w:t>
      </w:r>
    </w:p>
    <w:p>
      <w:pPr>
        <w:spacing w:after="120"/>
      </w:pPr>
      <w:r>
        <w:t xml:space="preserve">When Charm produces bio-oil and biochar from the same pyrolysis run, both co-products carry a share of the production emissions. The Isometric GHG Accounting Module Section 6.1 sets out two ways to allocate emissions between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val="false"/>
                <w:bCs w:val="false"/>
              </w:rPr>
              <w:t xml:space="preserve"/>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Carbon mass balance (Procedure 4)</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Substitution method (Procedure 3)</w:t>
            </w:r>
          </w:p>
        </w:tc>
      </w:tr>
      <w:tr>
        <w:trPr>
          <w:cantSplit/>
        </w:trPr>
        <w:tc>
          <w:tcPr>
            <w:tcW w:type="dxa" w:w="2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spacing w:after="0"/>
            </w:pPr>
            <w:r>
              <w:rPr>
                <w:b/>
                <w:bCs/>
              </w:rPr>
              <w:t xml:space="preserve">When it applies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Both co-products (bio-oil and biochar) will be credited as CDR with Isometric.</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One co-product (biochar here) is used to displace a reference product (coal). The avoided burden is subtracted from emissions allocated to the other co-product (bio-oil).</w:t>
            </w:r>
          </w:p>
        </w:tc>
      </w:tr>
      <w:tr>
        <w:trPr>
          <w:cantSplit/>
        </w:trPr>
        <w:tc>
          <w:tcPr>
            <w:tcW w:type="dxa" w:w="2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spacing w:after="0"/>
            </w:pPr>
            <w:r>
              <w:rPr>
                <w:b/>
                <w:bCs/>
              </w:rPr>
              <w:t xml:space="preserve">How PP emissions split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Total Production Period emissions are allocated between bio-oil and biochar by carbon mass. Each fraction's CI carries its share.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Bio-oil CI takes (PP emissions − avoided coal emissions); biochar takes nothing on this pathway, because it is not separately credited.</w:t>
            </w:r>
          </w:p>
        </w:tc>
      </w:tr>
      <w:tr>
        <w:trPr>
          <w:cantSplit/>
        </w:trPr>
        <w:tc>
          <w:tcPr>
            <w:tcW w:type="dxa" w:w="2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spacing w:after="0"/>
            </w:pPr>
            <w:r>
              <w:rPr>
                <w:b/>
                <w:bCs/>
              </w:rPr>
              <w:t xml:space="preserve">Bio-oil CI impact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Conservative — bio-oil CI carries its mass-weighted share of PP emissions.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More favourable — bio-oil CI is reduced by the avoided coal emissions, generating more credits at injection.</w:t>
            </w:r>
          </w:p>
        </w:tc>
      </w:tr>
      <w:tr>
        <w:trPr>
          <w:cantSplit/>
        </w:trPr>
        <w:tc>
          <w:tcPr>
            <w:tcW w:type="dxa" w:w="2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spacing w:after="0"/>
            </w:pPr>
            <w:r>
              <w:rPr>
                <w:b/>
                <w:bCs/>
              </w:rPr>
              <w:t xml:space="preserve">Default uncertainty discount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N/A.</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50% on substituted emissions by default; can be reduced to 0% with a complete evidence package.</w:t>
            </w:r>
          </w:p>
        </w:tc>
      </w:tr>
    </w:tbl>
    <w:p>
      <w:pPr>
        <w:spacing w:after="120"/>
      </w:pPr>
      <w:r>
        <w:t xml:space="preserve"/>
      </w:r>
    </w:p>
    <w:p>
      <w:pPr>
        <w:spacing w:after="120"/>
      </w:pPr>
      <w:r>
        <w:rPr>
          <w:b/>
          <w:bCs/>
        </w:rPr>
        <w:t xml:space="preserve">Why one or the other? </w:t>
      </w:r>
      <w:r>
        <w:t xml:space="preserve">Procedure 4 only applies if both co-products will be credited with Isometric. Once biochar is destined for the cement kiln rather than CDR, biochar will not be separately credited, and Procedure 3 is the right tool. The two procedures are mutually exclusive within a given assessment — you can't apply both.</w:t>
      </w:r>
    </w:p>
    <w:p>
      <w:pPr>
        <w:pStyle w:val="Heading1"/>
      </w:pPr>
      <w:r>
        <w:t xml:space="preserve">The predict-and-adjust framework, in plain terms</w:t>
      </w:r>
    </w:p>
    <w:p>
      <w:pPr>
        <w:spacing w:after="120"/>
      </w:pPr>
      <w:r>
        <w:t xml:space="preserve">The operational reality at Charm is that biochar's fate is often not known on the day a Production Period closes and the PP CI is locked. The same supersack might end up at a soil-spreading customer, at the cement kiln, or at a mid-stream redirect because of a customer pull. Bio-oil from a given PP, meanwhile, can be injected and credited across many RPs over time, all pulling from that PP's locked CI.</w:t>
      </w:r>
    </w:p>
    <w:p>
      <w:pPr>
        <w:spacing w:after="120"/>
      </w:pPr>
      <w:r>
        <w:t xml:space="preserve">Charm originally proposed "banking" avoided emissions to bridge that timing gap. Isometric declined banking on principle (see Mar 2 note for the four reasons). The compromise that landed: predict-and-adjust, operating at the PP level.</w:t>
      </w:r>
    </w:p>
    <w:p>
      <w:pPr>
        <w:pStyle w:val="ListParagraph"/>
        <w:numPr>
          <w:ilvl w:val="0"/>
          <w:numId w:val="2"/>
        </w:numPr>
        <w:spacing w:after="80"/>
      </w:pPr>
      <w:r>
        <w:t xml:space="preserve">At Production Period close, when the PP CI is being computed, declare the most likely fate of each biochar UID from that PP. Apply the matching procedure (Procedure 3 for substitution, Procedure 4 for CDR) to allocate the PP's emissions and lock the bio-oil CI.</w:t>
      </w:r>
    </w:p>
    <w:p>
      <w:pPr>
        <w:pStyle w:val="ListParagraph"/>
        <w:numPr>
          <w:ilvl w:val="0"/>
          <w:numId w:val="2"/>
        </w:numPr>
        <w:spacing w:after="80"/>
      </w:pPr>
      <w:r>
        <w:t xml:space="preserve">That PP CI travels with the bio-oil through transport, processing, and injection. As bio-oil from the PP is injected over subsequent RPs, the CI is realized — netted against removals.</w:t>
      </w:r>
    </w:p>
    <w:p>
      <w:pPr>
        <w:pStyle w:val="ListParagraph"/>
        <w:numPr>
          <w:ilvl w:val="0"/>
          <w:numId w:val="2"/>
        </w:numPr>
        <w:spacing w:after="80"/>
      </w:pPr>
      <w:r>
        <w:t xml:space="preserve">Track each biochar UID through to actual delivery and combustion.</w:t>
      </w:r>
    </w:p>
    <w:p>
      <w:pPr>
        <w:pStyle w:val="ListParagraph"/>
        <w:numPr>
          <w:ilvl w:val="0"/>
          <w:numId w:val="2"/>
        </w:numPr>
        <w:spacing w:after="80"/>
      </w:pPr>
      <w:r>
        <w:t xml:space="preserve">If actual fate matches declared fate, no further action.</w:t>
      </w:r>
    </w:p>
    <w:p>
      <w:pPr>
        <w:pStyle w:val="ListParagraph"/>
        <w:numPr>
          <w:ilvl w:val="0"/>
          <w:numId w:val="2"/>
        </w:numPr>
        <w:spacing w:after="80"/>
      </w:pPr>
      <w:r>
        <w:t xml:space="preserve">If actual fate diverges from declared fate, recompute the affected PP's bio-oil CI under the correct procedure. Book the delta against subsequent bio-oil RPs (see four scenarios below).</w:t>
      </w:r>
    </w:p>
    <w:p>
      <w:pPr>
        <w:pStyle w:val="ListParagraph"/>
        <w:numPr>
          <w:ilvl w:val="0"/>
          <w:numId w:val="2"/>
        </w:numPr>
        <w:spacing w:after="80"/>
      </w:pPr>
      <w:r>
        <w:t xml:space="preserve">Each declaration carries a 12-month confirmation window opening at PP close. If the window closes without confirmed fate, the corrective mechanism fires automatically.</w:t>
      </w:r>
    </w:p>
    <w:p>
      <w:pPr>
        <w:spacing w:after="120"/>
      </w:pPr>
      <w:r>
        <w:rPr>
          <w:b/>
          <w:bCs/>
        </w:rPr>
        <w:t xml:space="preserve">The accounting principle: </w:t>
      </w:r>
      <w:r>
        <w:t xml:space="preserve">any deficit lands on the bio-oil side. Per Isometric's Mar 31 alignment, true-ups carry forward against subsequent bio-oil RPs until cleared. They do </w:t>
      </w:r>
      <w:r>
        <w:rPr>
          <w:i/>
          <w:iCs/>
        </w:rPr>
        <w:t xml:space="preserve">not</w:t>
      </w:r>
      <w:r>
        <w:t xml:space="preserve"> claw back against biochar reporting. This protects bio-oil issuances from overcrediting claims while keeping the corrective math grounded in the PP CI that produced the issue in the first place.</w:t>
      </w:r>
    </w:p>
    <w:p>
      <w:pPr>
        <w:pStyle w:val="Heading1"/>
      </w:pPr>
      <w:r>
        <w:t xml:space="preserve">What 0% uncertainty discount requires</w:t>
      </w:r>
    </w:p>
    <w:p>
      <w:pPr>
        <w:spacing w:after="120"/>
      </w:pPr>
      <w:r>
        <w:t xml:space="preserve">The protocol default uncertainty discount on substituted emissions is 50%. That means even if our calculation says biochar substitution avoided 25 tCO₂e of coal emissions, we would only get to apply 12.5 tCO₂e to reduce bio-oil's allocated emissions. The full 50% haircut is the protocol's conservative baseline when limited or no project-specific evidence supports the substitution method.</w:t>
      </w:r>
    </w:p>
    <w:p>
      <w:pPr>
        <w:spacing w:after="120"/>
      </w:pPr>
      <w:r>
        <w:t xml:space="preserve">Isometric has confirmed in writing (Emma Marsland, Feb 23) that with a complete evidence package, the discount can be reduced to 0%. The package has four core components, each of which is a non-negotiable in the offtake and operations setup:</w:t>
      </w:r>
    </w:p>
    <w:p>
      <w:pPr>
        <w:pStyle w:val="ListParagraph"/>
        <w:numPr>
          <w:ilvl w:val="0"/>
          <w:numId w:val="3"/>
        </w:numPr>
        <w:spacing w:after="80"/>
      </w:pPr>
      <w:r>
        <w:rPr>
          <w:b/>
          <w:bCs/>
        </w:rPr>
        <w:t xml:space="preserve">Affidavit </w:t>
      </w:r>
      <w:r>
        <w:t xml:space="preserve">from the kiln operator covering: counterfactual fuel (coal) attestation, replacement ratio, sole ownership of avoided emissions by Charm, EC4 verbatim no-double-counting language, no change to operator product claims/EPDs, and notification triggers if char fate or kiln operations change. v2 of the affidavit is enclosed in this set.</w:t>
      </w:r>
    </w:p>
    <w:p>
      <w:pPr>
        <w:pStyle w:val="ListParagraph"/>
        <w:numPr>
          <w:ilvl w:val="0"/>
          <w:numId w:val="3"/>
        </w:numPr>
        <w:spacing w:after="80"/>
      </w:pPr>
      <w:r>
        <w:rPr>
          <w:b/>
          <w:bCs/>
        </w:rPr>
        <w:t xml:space="preserve">Calibrated mass measurement </w:t>
      </w:r>
      <w:r>
        <w:t xml:space="preserve">of biochar delivered. Already in place via the existing supersack UID workflow at intermediate containment.</w:t>
      </w:r>
    </w:p>
    <w:p>
      <w:pPr>
        <w:pStyle w:val="ListParagraph"/>
        <w:numPr>
          <w:ilvl w:val="0"/>
          <w:numId w:val="3"/>
        </w:numPr>
        <w:spacing w:after="80"/>
      </w:pPr>
      <w:r>
        <w:rPr>
          <w:b/>
          <w:bCs/>
        </w:rPr>
        <w:t xml:space="preserve">Defensible substituted-product emission factor — </w:t>
      </w:r>
      <w:r>
        <w:t xml:space="preserve">a representative EF (e.g., USEPA Emission Factor Hub, GREET) is acceptable per Isometric Mar 31, with explanation of why a product-specific LCA or EPD was not available. PRB / bituminous coal lifecycle EF is the current expectation; final selection follows the kiln operator's actual coal source.</w:t>
      </w:r>
    </w:p>
    <w:p>
      <w:pPr>
        <w:pStyle w:val="ListParagraph"/>
        <w:numPr>
          <w:ilvl w:val="0"/>
          <w:numId w:val="3"/>
        </w:numPr>
        <w:spacing w:after="80"/>
      </w:pPr>
      <w:r>
        <w:rPr>
          <w:b/>
          <w:bCs/>
        </w:rPr>
        <w:t xml:space="preserve">Pre- and post-intervention fuel-switching evidence </w:t>
      </w:r>
      <w:r>
        <w:t xml:space="preserve">from the kiln. Demonstrates that biochar consumption substituted coal consumption over a representative period. This is the empirical anchor — it is what makes the substitution claim verifiable rather than estimated.</w:t>
      </w:r>
    </w:p>
    <w:p>
      <w:pPr>
        <w:spacing w:after="120"/>
      </w:pPr>
      <w:r>
        <w:t xml:space="preserve">Drop any one of these and we likely fall back to 50%.</w:t>
      </w:r>
    </w:p>
    <w:p>
      <w:pPr>
        <w:pStyle w:val="Heading1"/>
      </w:pPr>
      <w:r>
        <w:t xml:space="preserve">The four scenarios — where penalties land</w:t>
      </w:r>
    </w:p>
    <w:p>
      <w:pPr>
        <w:spacing w:after="120"/>
      </w:pPr>
      <w:r>
        <w:t xml:space="preserve">Predicted fate × actual fate creates four cases. The </w:t>
      </w:r>
      <w:hyperlink w:history="1" r:id="rIdvfnblkzqogkuv2lot3qii">
        <w:r>
          <w:rPr>
            <w:color w:val="1F4E79"/>
            <w:u w:val="single"/>
          </w:rPr>
          <w:t xml:space="preserve">CDR/Sub Scenario Matrix</w:t>
        </w:r>
      </w:hyperlink>
      <w:r>
        <w:t xml:space="preserve"> is the canonical reference. The summary below is for orientation.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500"/>
        <w:gridCol w:w="3460"/>
        <w:gridCol w:w="2500"/>
      </w:tblGrid>
      <w:tr>
        <w:trPr>
          <w:tblHeader/>
        </w:trPr>
        <w:tc>
          <w:tcPr>
            <w:tcW w:type="dxa" w:w="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Predicted</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Actual</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What happens</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rPr>
              <w:t xml:space="preserve">Where the math lands</w:t>
            </w:r>
          </w:p>
        </w:tc>
      </w:tr>
      <w:tr>
        <w:trPr>
          <w:cantSplit/>
        </w:trP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CDR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CDR</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Procedure 4 was correctly applied. Biochar receives its share of emissions and is credited as CDR. No action.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 change to bio-oil RP credits.</w:t>
            </w:r>
          </w:p>
        </w:tc>
      </w:tr>
      <w:tr>
        <w:trPr>
          <w:cantSplit/>
        </w:trP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Substitution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Substitution</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Procedure 3 was correctly applied. Avoided coal emissions reduced bio-oil's allocated emissions. After actual delivery, true-up against estimated avoided emissions: any underperformance (actual avoided &lt; predicted) becomes a site-emission penalty on the next bio-oil RP.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Bio-oil RP penalty = (predicted avoided − actual avoided) × oil mass relevant to the calculation.</w:t>
            </w:r>
          </w:p>
        </w:tc>
      </w:tr>
      <w:tr>
        <w:trPr>
          <w:cantSplit/>
        </w:trP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CDR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Substitution</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Carbon mass balance was applied. Compute the avoided emissions from substitution and subtract from biochar's allocated emissions (CI × char mass). If result is zero or negative, no action — the mass-balance allocation was already conservative. If positive, that residual is the bio-oil overcrediting; book as a penalty against next bio-oil RP.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Bio-oil RP penalty = (Char CI × Char mass) − avoided emissions, if positive.</w:t>
            </w:r>
          </w:p>
        </w:tc>
      </w:tr>
      <w:tr>
        <w:trPr>
          <w:cantSplit/>
        </w:trPr>
        <w:tc>
          <w:tcPr>
            <w:tcW w:type="dxa" w:w="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Substitution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Char → CDR</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Substitution method was applied; bio-oil got the avoided-emissions discount, but actual fate is now CDR. Recompute production-period emissions under carbon mass balance. Char goes to CDR carrying its appropriate share of emissions (not zero CI). Bio-oil is overcredited; book penalty.</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Bio-oil RP penalty = Mass of credited PP oil × (CI under mass balance − CI under substitution). Oil from the affected PP not yet credited goes out at the recomputed mass-balance CI.</w:t>
            </w:r>
          </w:p>
        </w:tc>
      </w:tr>
    </w:tbl>
    <w:p>
      <w:pPr>
        <w:spacing w:after="120"/>
      </w:pPr>
      <w:r>
        <w:t xml:space="preserve"/>
      </w:r>
    </w:p>
    <w:p>
      <w:pPr>
        <w:spacing w:after="120"/>
      </w:pPr>
      <w:r>
        <w:rPr>
          <w:b/>
          <w:bCs/>
        </w:rPr>
        <w:t xml:space="preserve">A worked example: scenario 4. </w:t>
      </w:r>
      <w:r>
        <w:t xml:space="preserve">Suppose 10 tonnes of biochar from January's Production Period was declared to substitution at PP close. The PP bio-oil CI was locked under Procedure 3 with the avoided-coal benefit applied — say, CI₁ ended up 20% lower than it would have been under mass balance (CI₂). Over the next several RPs, some of that PP's bio-oil gets injected and credited at CI₁. In March, the January biochar gets pulled into a CDR commit instead of going to the kiln. Per scenario 4: char goes to CDR carrying its share of mass-balance emissions (not zero CI); the affected PP's bio-oil CI is recomputed at CI₂. The historical RPs that credited January oil are </w:t>
      </w:r>
      <w:r>
        <w:rPr>
          <w:b/>
          <w:bCs/>
        </w:rPr>
        <w:t xml:space="preserve">not</w:t>
      </w:r>
      <w:r>
        <w:t xml:space="preserve"> reopened — those credits are issued and stay issued. Instead, the mass of January oil that has already been credited is used as an input to size a deficit: deficit = (CI₂ − CI₁) × (mass already credited). That deficit is booked as a site emission against the next bio-oil RP and rolls into RPs after that, if needed, until cleared. Any January oil that has not yet been credited goes out at CI₂ directly when it is later injected — never at CI₁.</w:t>
      </w:r>
    </w:p>
    <w:p>
      <w:pPr>
        <w:spacing w:after="120"/>
      </w:pPr>
      <w:r>
        <w:rPr>
          <w:b/>
          <w:bCs/>
        </w:rPr>
        <w:t xml:space="preserve">Why the structure works this way. </w:t>
      </w:r>
      <w:r>
        <w:t xml:space="preserve">Predict-and-adjust is explicitly designed so that no change in biochar fate can ever reverse an already-issued bio-oil credit. Past RPs are frozen; corrections only land on future RPs. This protects buyers from downstream claim risk, keeps the registry out of reversal territory, and is the headline reason Isometric chose this framework over banking or any retrospective adjustment.</w:t>
      </w:r>
    </w:p>
    <w:p>
      <w:pPr>
        <w:pStyle w:val="Heading1"/>
      </w:pPr>
      <w:r>
        <w:t xml:space="preserve">Practical implications for materials and ops decisions</w:t>
      </w:r>
    </w:p>
    <w:p>
      <w:pPr>
        <w:pStyle w:val="ListParagraph"/>
        <w:numPr>
          <w:ilvl w:val="0"/>
          <w:numId w:val="4"/>
        </w:numPr>
        <w:spacing w:after="80"/>
      </w:pPr>
      <w:r>
        <w:rPr>
          <w:b/>
          <w:bCs/>
        </w:rPr>
        <w:t xml:space="preserve">The declaration matters because it sets the PP CI. </w:t>
      </w:r>
      <w:r>
        <w:t xml:space="preserve">A wrong declaration is not catastrophic — that's what the corrective mechanism is for — but it means the next bio-oil RP absorbs a penalty derived from recomputing the affected PP CI. Operations should make declarations conservatively at PP close, based on the strongest signal at the time (signed kiln offtake commit &gt; intent &gt; assumption).</w:t>
      </w:r>
    </w:p>
    <w:p>
      <w:pPr>
        <w:pStyle w:val="ListParagraph"/>
        <w:numPr>
          <w:ilvl w:val="0"/>
          <w:numId w:val="4"/>
        </w:numPr>
        <w:spacing w:after="80"/>
      </w:pPr>
      <w:r>
        <w:rPr>
          <w:b/>
          <w:bCs/>
        </w:rPr>
        <w:t xml:space="preserve">Mid-stream redirects show up in the books via the PP CI recomputation. </w:t>
      </w:r>
      <w:r>
        <w:t xml:space="preserve">If Materials/Commercial pulls a UID from substitution to a customer CDR commit, that is scenario 4. It is allowed and well-defined — but MRV needs to know within the 12-month window so the affected PP's CI can be recomputed and the delta booked against the next bio-oil RP. Notify Operations on redirect; Operations updates the batch tracker and flags MRV.</w:t>
      </w:r>
    </w:p>
    <w:p>
      <w:pPr>
        <w:pStyle w:val="ListParagraph"/>
        <w:numPr>
          <w:ilvl w:val="0"/>
          <w:numId w:val="4"/>
        </w:numPr>
        <w:spacing w:after="80"/>
      </w:pPr>
      <w:r>
        <w:rPr>
          <w:b/>
          <w:bCs/>
        </w:rPr>
        <w:t xml:space="preserve">Kiln pause / disposal events are corrective triggers. </w:t>
      </w:r>
      <w:r>
        <w:t xml:space="preserve">The §1.2 affidavit notification triggers exist so that this information reaches us before the 12-month window closes. If the operator notifies Charm of a pause or disposal, treat as a fate-divergence and apply the corresponding scenario.</w:t>
      </w:r>
    </w:p>
    <w:p>
      <w:pPr>
        <w:pStyle w:val="ListParagraph"/>
        <w:numPr>
          <w:ilvl w:val="0"/>
          <w:numId w:val="4"/>
        </w:numPr>
        <w:spacing w:after="80"/>
      </w:pPr>
      <w:r>
        <w:rPr>
          <w:b/>
          <w:bCs/>
        </w:rPr>
        <w:t xml:space="preserve">Pilot data is the bridge between PP close and kiln-confirmed actuals. </w:t>
      </w:r>
      <w:r>
        <w:t xml:space="preserve">Procedure 3 at PP close needs kiln-side substitution evidence to compute the bio-oil CI — but at the moment of the calculation, the in-scope PP's biochar hasn't been combusted yet (kiln combustion lags PP close at all operating cadences, not just during ramp). The cycle is: run the pilot and capture kiln-side measurements; use those measurements to ground Procedure 3 at each subsequent PP close; true up against actuals once that PP's biochar has actually been combusted. The pilot reference holds only while pilot char and PP char share equivalent composition and were produced under the same process parameters; if feedstock or pyrolysis parameters drift, the reference is stale, and MRV must either commission fresh kiln data or apply a higher uncertainty discount until refreshed.</w:t>
      </w:r>
    </w:p>
    <w:p>
      <w:pPr>
        <w:pStyle w:val="ListParagraph"/>
        <w:numPr>
          <w:ilvl w:val="0"/>
          <w:numId w:val="4"/>
        </w:numPr>
        <w:spacing w:after="80"/>
      </w:pPr>
      <w:r>
        <w:rPr>
          <w:b/>
          <w:bCs/>
        </w:rPr>
        <w:t xml:space="preserve">Decarbonisation Statement quality is now a credit driver. </w:t>
      </w:r>
      <w:r>
        <w:t xml:space="preserve">Annual Decarbonisation Statement is required under EC3. The breakdown we shared with Isometric on Feb 25 (propane and embodied account for ~80% of Basco residual emissions; remaining sources below materiality) is the spine. If new decarbonisation options become viable at our scale (e.g., RNG infrastructure, grid PPA, behind-the-meter renewable capacity), they need to make their way into the next annual Statement.</w:t>
      </w:r>
    </w:p>
    <w:p>
      <w:pPr>
        <w:pStyle w:val="Heading1"/>
      </w:pPr>
      <w:r>
        <w:t xml:space="preserve">Where this flows through Certify</w:t>
      </w:r>
    </w:p>
    <w:p>
      <w:pPr>
        <w:spacing w:after="120"/>
      </w:pPr>
      <w:r>
        <w:t xml:space="preserve">All of the above lives in Certify component flow through three places:</w:t>
      </w:r>
    </w:p>
    <w:p>
      <w:pPr>
        <w:pStyle w:val="ListParagraph"/>
        <w:numPr>
          <w:ilvl w:val="0"/>
          <w:numId w:val="5"/>
        </w:numPr>
        <w:spacing w:after="80"/>
      </w:pPr>
      <w:r>
        <w:rPr>
          <w:b/>
          <w:bCs/>
        </w:rPr>
        <w:t xml:space="preserve">Production-period component allocation. </w:t>
      </w:r>
      <w:r>
        <w:t xml:space="preserve">Bio-oil and biochar emissions allocation under Procedure 3 (substitution) or Procedure 4 (mass balance), keyed off declared fate per UID.</w:t>
      </w:r>
    </w:p>
    <w:p>
      <w:pPr>
        <w:pStyle w:val="ListParagraph"/>
        <w:numPr>
          <w:ilvl w:val="0"/>
          <w:numId w:val="5"/>
        </w:numPr>
        <w:spacing w:after="80"/>
      </w:pPr>
      <w:r>
        <w:rPr>
          <w:b/>
          <w:bCs/>
        </w:rPr>
        <w:t xml:space="preserve">Site-emission penalty entries on subsequent bio-oil RPs </w:t>
      </w:r>
      <w:r>
        <w:t xml:space="preserve">when the corrective mechanism fires. These are net-additive to whatever other site emissions the affected RP has.</w:t>
      </w:r>
    </w:p>
    <w:p>
      <w:pPr>
        <w:pStyle w:val="ListParagraph"/>
        <w:numPr>
          <w:ilvl w:val="0"/>
          <w:numId w:val="5"/>
        </w:numPr>
        <w:spacing w:after="80"/>
      </w:pPr>
      <w:r>
        <w:rPr>
          <w:b/>
          <w:bCs/>
        </w:rPr>
        <w:t xml:space="preserve">Annual Decarbonisation Statement attachment </w:t>
      </w:r>
      <w:r>
        <w:t xml:space="preserve">at the project level — required for substitution method to be applied at all. EC3 demonstration (net-negative without substitution) is also pulled at each verification using the GHG Statement calculations as input.</w:t>
      </w:r>
    </w:p>
    <w:p>
      <w:pPr>
        <w:spacing w:after="120"/>
      </w:pPr>
      <w:r>
        <w:t xml:space="preserve">MRV/Accounting owns the Certify implementation; Operations owns the inputs (declarations, fate confirmations, dates). The clean handoff between batch tracker and Certify is the single thing that determines whether this works smoothly at scale.</w:t>
      </w:r>
    </w:p>
    <w:p>
      <w:pPr>
        <w:pStyle w:val="Heading1"/>
      </w:pPr>
      <w:r>
        <w:t xml:space="preserve">References</w:t>
      </w:r>
    </w:p>
    <w:p>
      <w:pPr>
        <w:pStyle w:val="ListParagraph"/>
        <w:numPr>
          <w:ilvl w:val="0"/>
          <w:numId w:val="4"/>
        </w:numPr>
        <w:spacing w:after="80"/>
      </w:pPr>
      <w:r>
        <w:rPr>
          <w:b/>
          <w:bCs/>
        </w:rPr>
        <w:t xml:space="preserve">Implementation Brief (companion doc)</w:t>
      </w:r>
      <w:r>
        <w:t xml:space="preserve"> — Biochar_Cement_Substitution_Implementation_Brief.docx (same folder)</w:t>
      </w:r>
    </w:p>
    <w:p>
      <w:pPr>
        <w:pStyle w:val="ListParagraph"/>
        <w:numPr>
          <w:ilvl w:val="0"/>
          <w:numId w:val="4"/>
        </w:numPr>
        <w:spacing w:after="80"/>
      </w:pPr>
      <w:r>
        <w:rPr>
          <w:b/>
          <w:bCs/>
        </w:rPr>
        <w:t xml:space="preserve">Playbook (companion doc)</w:t>
      </w:r>
      <w:r>
        <w:t xml:space="preserve"> — Biochar_Cement_Substitution_Playbook.docx (same folder)</w:t>
      </w:r>
    </w:p>
    <w:p>
      <w:pPr>
        <w:pStyle w:val="ListParagraph"/>
        <w:numPr>
          <w:ilvl w:val="0"/>
          <w:numId w:val="4"/>
        </w:numPr>
        <w:spacing w:after="80"/>
      </w:pPr>
      <w:r>
        <w:rPr>
          <w:b/>
          <w:bCs/>
        </w:rPr>
        <w:t xml:space="preserve">Affidavit v2 (companion doc)</w:t>
      </w:r>
      <w:r>
        <w:t xml:space="preserve"> — Cement_Kiln_Substitution_Affidavit_v2.docx (same folder)</w:t>
      </w:r>
    </w:p>
    <w:p>
      <w:pPr>
        <w:pStyle w:val="ListParagraph"/>
        <w:numPr>
          <w:ilvl w:val="0"/>
          <w:numId w:val="4"/>
        </w:numPr>
        <w:spacing w:after="80"/>
      </w:pPr>
      <w:hyperlink w:history="1" r:id="rIdmvog_reuejndfmmocywme">
        <w:r>
          <w:rPr>
            <w:color w:val="1F4E79"/>
            <w:u w:val="single"/>
          </w:rPr>
          <w:t xml:space="preserve">CDR/Sub Scenario Matrix — canonical source of truth</w:t>
        </w:r>
      </w:hyperlink>
    </w:p>
    <w:p>
      <w:pPr>
        <w:pStyle w:val="ListParagraph"/>
        <w:numPr>
          <w:ilvl w:val="0"/>
          <w:numId w:val="4"/>
        </w:numPr>
        <w:spacing w:after="80"/>
      </w:pPr>
      <w:hyperlink w:history="1" r:id="rIdeqlrw-nwhqy4n0fyp-hsa">
        <w:r>
          <w:rPr>
            <w:color w:val="1F4E79"/>
            <w:u w:val="single"/>
          </w:rPr>
          <w:t xml:space="preserve">Substitution simulator sheet — quantitative model</w:t>
        </w:r>
      </w:hyperlink>
    </w:p>
    <w:p>
      <w:pPr>
        <w:pStyle w:val="ListParagraph"/>
        <w:numPr>
          <w:ilvl w:val="0"/>
          <w:numId w:val="4"/>
        </w:numPr>
        <w:spacing w:after="80"/>
      </w:pPr>
      <w:hyperlink w:history="1" r:id="rIduienkqs_xp8xkgry0ficd">
        <w:r>
          <w:rPr>
            <w:color w:val="1F4E79"/>
            <w:u w:val="single"/>
          </w:rPr>
          <w:t xml:space="preserve">Charm × Isometric negotiation thread (Mar 31 final)</w:t>
        </w:r>
      </w:hyperlink>
    </w:p>
    <w:p>
      <w:pPr>
        <w:pStyle w:val="ListParagraph"/>
        <w:numPr>
          <w:ilvl w:val="0"/>
          <w:numId w:val="4"/>
        </w:numPr>
        <w:spacing w:after="80"/>
      </w:pPr>
      <w:hyperlink w:history="1" r:id="rIdesegbj3f2pp25qijanztf">
        <w:r>
          <w:rPr>
            <w:color w:val="1F4E79"/>
            <w:u w:val="single"/>
          </w:rPr>
          <w:t xml:space="preserve">GHG Accounting Module Section 6.1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4E79"/>
      <w:sz w:val="40"/>
      <w:szCs w:val="40"/>
    </w:rPr>
  </w:style>
  <w:style w:type="paragraph" w:styleId="Subtitle">
    <w:name w:val="Subtitle"/>
    <w:basedOn w:val="Normal"/>
    <w:next w:val="Normal"/>
    <w:qFormat/>
    <w:pPr>
      <w:spacing w:after="240" w:before="0"/>
    </w:pPr>
    <w:rPr>
      <w:rFonts w:ascii="Calibri" w:cs="Calibri" w:eastAsia="Calibri" w:hAnsi="Calibri"/>
      <w:i/>
      <w:iCs/>
      <w:color w:val="595959"/>
      <w:sz w:val="22"/>
      <w:szCs w:val="22"/>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fnblkzqogkuv2lot3qii" Type="http://schemas.openxmlformats.org/officeDocument/2006/relationships/hyperlink" Target="https://docs.google.com/spreadsheets/d/1_BYrNaraBGJlpunlwXWOwsZPE4y3n-vGH0IDKFVAzjg/edit?gid=0#gid=0" TargetMode="External"/><Relationship Id="rIdmvog_reuejndfmmocywme" Type="http://schemas.openxmlformats.org/officeDocument/2006/relationships/hyperlink" Target="https://docs.google.com/spreadsheets/d/1_BYrNaraBGJlpunlwXWOwsZPE4y3n-vGH0IDKFVAzjg/edit?gid=0#gid=0" TargetMode="External"/><Relationship Id="rIdeqlrw-nwhqy4n0fyp-hsa" Type="http://schemas.openxmlformats.org/officeDocument/2006/relationships/hyperlink" Target="https://docs.google.com/spreadsheets/d/10YxQhQggkSrlDcehCKKByeCZe03XJuVL/edit?gid=482161877#gid=482161877" TargetMode="External"/><Relationship Id="rIduienkqs_xp8xkgry0ficd" Type="http://schemas.openxmlformats.org/officeDocument/2006/relationships/hyperlink" Target="https://docs.google.com/document/d/1xpCrQkJ44TJjEZhRwCCyRTBvn9Lc1QO58NfVVp0zKs0/edit" TargetMode="External"/><Relationship Id="rIdesegbj3f2pp25qijanztf" Type="http://schemas.openxmlformats.org/officeDocument/2006/relationships/hyperlink" Target="https://registry.isometric.com/module/ghg-accounting/1.1#co-product-emissions-allocat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2026-04-28T23:03:13.075Z</dcterms:created>
  <dcterms:modified xsi:type="dcterms:W3CDTF">2026-04-28T23:03:13.075Z</dcterms:modified>
</cp:coreProperties>
</file>

<file path=docProps/custom.xml><?xml version="1.0" encoding="utf-8"?>
<Properties xmlns="http://schemas.openxmlformats.org/officeDocument/2006/custom-properties" xmlns:vt="http://schemas.openxmlformats.org/officeDocument/2006/docPropsVTypes"/>
</file>