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3A5F"/>
          <w:sz w:val="40"/>
        </w:rPr>
        <w:t>MRV Product Roadmap 2027</w:t>
      </w:r>
    </w:p>
    <w:p>
      <w:r>
        <w:rPr>
          <w:color w:val="555555"/>
          <w:sz w:val="22"/>
        </w:rPr>
        <w:t>Working outline  |  Internal  |  Draft 14 October 2026</w:t>
      </w:r>
    </w:p>
    <w:p>
      <w:r>
        <w:rPr>
          <w:i w:val="0"/>
        </w:rPr>
        <w:t>Basis: Charm &lt;&gt; Isometric in-person sessions, 5 October 2026 (Isometric attendees Sophie Harris, Ed Long, Katie Earl). Timing marked “Proposed” is a draft for discussion; timing with a source tag is as stated in that source.</w:t>
      </w:r>
    </w:p>
    <w:p>
      <w:pPr>
        <w:pStyle w:val="Heading1"/>
      </w:pPr>
      <w:r>
        <w:t>1. What Isometric is building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656"/>
            <w:shd w:val="clear" w:color="auto" w:fill="D6E4F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5760"/>
            <w:shd w:val="clear" w:color="auto" w:fill="D6E4F0"/>
          </w:tcPr>
          <w:p>
            <w:r/>
            <w:r>
              <w:rPr>
                <w:b/>
                <w:sz w:val="20"/>
              </w:rPr>
              <w:t>Isometric’s statement</w:t>
            </w:r>
          </w:p>
        </w:tc>
        <w:tc>
          <w:tcPr>
            <w:tcW w:type="dxa" w:w="2232"/>
            <w:shd w:val="clear" w:color="auto" w:fill="D6E4F0"/>
          </w:tcPr>
          <w:p>
            <w:r/>
            <w:r>
              <w:rPr>
                <w:b/>
                <w:sz w:val="20"/>
              </w:rPr>
              <w:t>Timing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20"/>
              </w:rPr>
              <w:t>Certify asset model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“The new asset-based data model is rolling out through roughly January 2027. It has three asset types (sites, activities, materials) and three purposes: validating assets, logging operational data, and driving quantification for crediting.” [S1]</w:t>
            </w:r>
          </w:p>
        </w:tc>
        <w:tc>
          <w:tcPr>
            <w:tcW w:type="dxa" w:w="2232"/>
          </w:tcPr>
          <w:p>
            <w:r/>
            <w:r>
              <w:rPr>
                <w:sz w:val="20"/>
              </w:rPr>
              <w:t>Through ~Jan 2027 [S1]; asset validation is the first priority of the rollout [S2]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20"/>
              </w:rPr>
              <w:t>Allocation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“Asset-based accounting means emissions for a pyrolysis process can be defined once and allocated to each storage event. Components are reviewed once and then amortised across multiple GHG entries.” [S1]</w:t>
            </w:r>
          </w:p>
        </w:tc>
        <w:tc>
          <w:tcPr>
            <w:tcW w:type="dxa" w:w="2232"/>
          </w:tcPr>
          <w:p>
            <w:r/>
            <w:r>
              <w:rPr>
                <w:sz w:val="20"/>
              </w:rPr>
              <w:t>With asset model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20"/>
              </w:rPr>
              <w:t>GHG entries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“Going forward, GHG components can be linked to specific assets (injection events, pyrolysis activities, storage events), which reduces duplicated data and QA burden.” [S1]</w:t>
            </w:r>
          </w:p>
        </w:tc>
        <w:tc>
          <w:tcPr>
            <w:tcW w:type="dxa" w:w="2232"/>
          </w:tcPr>
          <w:p>
            <w:r/>
            <w:r>
              <w:rPr>
                <w:sz w:val="20"/>
              </w:rPr>
              <w:t>Not stated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20"/>
              </w:rPr>
              <w:t>Change validation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“submit the pyrolyzer information on the new asset in Certify, the same way new feedstocks are added … so future changes (E-Series and onwards!) only need the relevant component reviewed.” [S4]</w:t>
            </w:r>
          </w:p>
        </w:tc>
        <w:tc>
          <w:tcPr>
            <w:tcW w:type="dxa" w:w="2232"/>
          </w:tcPr>
          <w:p>
            <w:r/>
            <w:r>
              <w:rPr>
                <w:sz w:val="20"/>
              </w:rPr>
              <w:t>In use now for D-Series [S4]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20"/>
              </w:rPr>
              <w:t>Project document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“in the longer term, exportable Certify components could serve as the up-to-date project document.” [S3]</w:t>
            </w:r>
          </w:p>
        </w:tc>
        <w:tc>
          <w:tcPr>
            <w:tcW w:type="dxa" w:w="2232"/>
          </w:tcPr>
          <w:p>
            <w:r/>
            <w:r>
              <w:rPr>
                <w:sz w:val="20"/>
              </w:rPr>
              <w:t>Not stated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20"/>
              </w:rPr>
              <w:t>Multi-pathway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“the Certify sites and assets framework should support segregation by lot. There is some nuance to work through, since biochar and bio-oil are separate at the protocol level.” [S3]</w:t>
            </w:r>
          </w:p>
        </w:tc>
        <w:tc>
          <w:tcPr>
            <w:tcW w:type="dxa" w:w="2232"/>
          </w:tcPr>
          <w:p>
            <w:r/>
            <w:r>
              <w:rPr>
                <w:sz w:val="20"/>
              </w:rPr>
              <w:t>Not stated</w:t>
            </w:r>
          </w:p>
        </w:tc>
      </w:tr>
    </w:tbl>
    <w:p>
      <w:pPr>
        <w:spacing w:after="40"/>
      </w:pPr>
    </w:p>
    <w:p>
      <w:pPr>
        <w:pStyle w:val="Heading1"/>
      </w:pPr>
      <w:r>
        <w:t>2. Charm scale driving the roadmap</w:t>
      </w:r>
    </w:p>
    <w:p>
      <w:pPr>
        <w:spacing w:after="60"/>
        <w:ind w:left="432"/>
      </w:pPr>
      <w:r>
        <w:rPr>
          <w:i/>
          <w:sz w:val="20"/>
        </w:rPr>
        <w:t>“2 D-Series pyrolysers will be completed this year, ~10 E-Series are targeted for next year, F-Series is planned for 2028–2030.”</w:t>
      </w:r>
      <w:r>
        <w:rPr>
          <w:color w:val="555555"/>
          <w:sz w:val="18"/>
        </w:rPr>
        <w:t xml:space="preserve">  [S1]</w:t>
      </w:r>
    </w:p>
    <w:p>
      <w:pPr>
        <w:spacing w:after="60"/>
        <w:ind w:left="432"/>
      </w:pPr>
      <w:r>
        <w:rPr>
          <w:i/>
          <w:sz w:val="20"/>
        </w:rPr>
        <w:t>“Still open: whether D-Series units are decommissioned or redeployed as a mobile fleet.”</w:t>
      </w:r>
      <w:r>
        <w:rPr>
          <w:color w:val="555555"/>
          <w:sz w:val="18"/>
        </w:rPr>
        <w:t xml:space="preserve">  [S1]</w:t>
      </w:r>
    </w:p>
    <w:p>
      <w:pPr>
        <w:spacing w:after="60"/>
        <w:ind w:left="432"/>
      </w:pPr>
      <w:r>
        <w:rPr>
          <w:i/>
          <w:sz w:val="20"/>
        </w:rPr>
        <w:t>“New counterfactual accounting rules will require better feedstock tracking over time. This matters more as sourcing grows to a mix of first- and third-party suppliers, with batching moving to truckload level (super sacks and totes phased out) under first-in, first-out inventory accounting.”</w:t>
      </w:r>
      <w:r>
        <w:rPr>
          <w:color w:val="555555"/>
          <w:sz w:val="18"/>
        </w:rPr>
        <w:t xml:space="preserve">  [S1]</w:t>
      </w:r>
    </w:p>
    <w:p>
      <w:pPr>
        <w:pStyle w:val="Heading1"/>
      </w:pPr>
      <w:r>
        <w:t>3. 2027 objectives (proposed)</w:t>
      </w:r>
    </w:p>
    <w:p>
      <w:pPr>
        <w:pStyle w:val="ListBullet"/>
        <w:spacing w:after="40"/>
      </w:pPr>
      <w:r>
        <w:rPr>
          <w:b/>
        </w:rPr>
        <w:t xml:space="preserve">O1  </w:t>
      </w:r>
      <w:r>
        <w:t>Every operating Charm asset validated on Certify’s asset model, so a new pyrolyzer, site or feedstock is a component review rather than a PDD rewrite.</w:t>
      </w:r>
    </w:p>
    <w:p>
      <w:pPr>
        <w:pStyle w:val="ListBullet"/>
        <w:spacing w:after="40"/>
      </w:pPr>
      <w:r>
        <w:rPr>
          <w:b/>
        </w:rPr>
        <w:t xml:space="preserve">O2  </w:t>
      </w:r>
      <w:r>
        <w:t>Operational data moves from Charm systems through Mangrove into Certify without hand assembly, with GHG components linked to assets.</w:t>
      </w:r>
    </w:p>
    <w:p>
      <w:pPr>
        <w:pStyle w:val="ListBullet"/>
        <w:spacing w:after="40"/>
      </w:pPr>
      <w:r>
        <w:rPr>
          <w:b/>
        </w:rPr>
        <w:t xml:space="preserve">O3  </w:t>
      </w:r>
      <w:r>
        <w:t>Adding ~10 E-Series units does not lengthen the verification cycle.</w:t>
      </w:r>
    </w:p>
    <w:p>
      <w:pPr>
        <w:pStyle w:val="ListBullet"/>
        <w:spacing w:after="40"/>
      </w:pPr>
      <w:r>
        <w:rPr>
          <w:b/>
        </w:rPr>
        <w:t xml:space="preserve">O4  </w:t>
      </w:r>
      <w:r>
        <w:t>Project documentation lives in Certify components that buyers can use for diligence.</w:t>
      </w:r>
    </w:p>
    <w:p>
      <w:pPr>
        <w:pStyle w:val="ListBullet"/>
        <w:spacing w:after="40"/>
      </w:pPr>
      <w:r>
        <w:rPr>
          <w:b/>
        </w:rPr>
        <w:t xml:space="preserve">O5  </w:t>
      </w:r>
      <w:r>
        <w:t>Feedstock tracked at truckload level under first-in, first-out accounting, meeting the new counterfactual rules.</w:t>
      </w:r>
    </w:p>
    <w:p>
      <w:pPr>
        <w:pStyle w:val="Heading1"/>
      </w:pPr>
      <w:r>
        <w:t>4. Workstreams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D6E4F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088"/>
            <w:shd w:val="clear" w:color="auto" w:fill="D6E4F0"/>
          </w:tcPr>
          <w:p>
            <w:r/>
            <w:r>
              <w:rPr>
                <w:b/>
                <w:sz w:val="20"/>
              </w:rPr>
              <w:t>Workstream</w:t>
            </w:r>
          </w:p>
        </w:tc>
        <w:tc>
          <w:tcPr>
            <w:tcW w:type="dxa" w:w="3240"/>
            <w:shd w:val="clear" w:color="auto" w:fill="D6E4F0"/>
          </w:tcPr>
          <w:p>
            <w:r/>
            <w:r>
              <w:rPr>
                <w:b/>
                <w:sz w:val="20"/>
              </w:rPr>
              <w:t>2027 goal</w:t>
            </w:r>
          </w:p>
        </w:tc>
        <w:tc>
          <w:tcPr>
            <w:tcW w:type="dxa" w:w="1080"/>
            <w:shd w:val="clear" w:color="auto" w:fill="D6E4F0"/>
          </w:tcPr>
          <w:p>
            <w:r/>
            <w:r>
              <w:rPr>
                <w:b/>
                <w:sz w:val="20"/>
              </w:rPr>
              <w:t>Objective</w:t>
            </w:r>
          </w:p>
        </w:tc>
        <w:tc>
          <w:tcPr>
            <w:tcW w:type="dxa" w:w="2808"/>
            <w:shd w:val="clear" w:color="auto" w:fill="D6E4F0"/>
          </w:tcPr>
          <w:p>
            <w:r/>
            <w:r>
              <w:rPr>
                <w:b/>
                <w:sz w:val="20"/>
              </w:rPr>
              <w:t>Proposed timing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088"/>
          </w:tcPr>
          <w:p>
            <w:r/>
            <w:r>
              <w:rPr>
                <w:sz w:val="20"/>
              </w:rPr>
              <w:t>Certify asset model migration</w:t>
            </w:r>
          </w:p>
        </w:tc>
        <w:tc>
          <w:tcPr>
            <w:tcW w:type="dxa" w:w="3240"/>
          </w:tcPr>
          <w:p>
            <w:r/>
            <w:r>
              <w:rPr>
                <w:sz w:val="20"/>
              </w:rPr>
              <w:t>Existing sites, activities and materials validated on the new model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O1</w:t>
            </w:r>
          </w:p>
        </w:tc>
        <w:tc>
          <w:tcPr>
            <w:tcW w:type="dxa" w:w="2808"/>
          </w:tcPr>
          <w:p>
            <w:r/>
            <w:r>
              <w:rPr>
                <w:sz w:val="20"/>
              </w:rPr>
              <w:t>Q1 validate assets; Q2 log operational data; Q3 quantify credits on assets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088"/>
          </w:tcPr>
          <w:p>
            <w:r/>
            <w:r>
              <w:rPr>
                <w:sz w:val="20"/>
              </w:rPr>
              <w:t>Data flow: operations → Mangrove → Certify</w:t>
            </w:r>
          </w:p>
        </w:tc>
        <w:tc>
          <w:tcPr>
            <w:tcW w:type="dxa" w:w="3240"/>
          </w:tcPr>
          <w:p>
            <w:r/>
            <w:r>
              <w:rPr>
                <w:sz w:val="20"/>
              </w:rPr>
              <w:t>Mangrove events mapped to Certify assets; evidence attached automatically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O2</w:t>
            </w:r>
          </w:p>
        </w:tc>
        <w:tc>
          <w:tcPr>
            <w:tcW w:type="dxa" w:w="2808"/>
          </w:tcPr>
          <w:p>
            <w:r/>
            <w:r>
              <w:rPr>
                <w:sz w:val="20"/>
              </w:rPr>
              <w:t>Mapping agreed Q4 2026–Q1; all oil sources flowing by Q2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088"/>
          </w:tcPr>
          <w:p>
            <w:r/>
            <w:r>
              <w:rPr>
                <w:sz w:val="20"/>
              </w:rPr>
              <w:t>GHG entry structure and QA</w:t>
            </w:r>
          </w:p>
        </w:tc>
        <w:tc>
          <w:tcPr>
            <w:tcW w:type="dxa" w:w="3240"/>
          </w:tcPr>
          <w:p>
            <w:r/>
            <w:r>
              <w:rPr>
                <w:sz w:val="20"/>
              </w:rPr>
              <w:t>Lot and site emissions linked to assets; duplicated entries retired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O2, O3</w:t>
            </w:r>
          </w:p>
        </w:tc>
        <w:tc>
          <w:tcPr>
            <w:tcW w:type="dxa" w:w="2808"/>
          </w:tcPr>
          <w:p>
            <w:r/>
            <w:r>
              <w:rPr>
                <w:sz w:val="20"/>
              </w:rPr>
              <w:t>Q2–Q3, after A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D</w:t>
            </w:r>
          </w:p>
        </w:tc>
        <w:tc>
          <w:tcPr>
            <w:tcW w:type="dxa" w:w="2088"/>
          </w:tcPr>
          <w:p>
            <w:r/>
            <w:r>
              <w:rPr>
                <w:sz w:val="20"/>
              </w:rPr>
              <w:t>Scale-up: E-Series and new sites</w:t>
            </w:r>
          </w:p>
        </w:tc>
        <w:tc>
          <w:tcPr>
            <w:tcW w:type="dxa" w:w="3240"/>
          </w:tcPr>
          <w:p>
            <w:r/>
            <w:r>
              <w:rPr>
                <w:sz w:val="20"/>
              </w:rPr>
              <w:t>One repeatable asset submission per pyrolyzer and per site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O1, O3</w:t>
            </w:r>
          </w:p>
        </w:tc>
        <w:tc>
          <w:tcPr>
            <w:tcW w:type="dxa" w:w="2808"/>
          </w:tcPr>
          <w:p>
            <w:r/>
            <w:r>
              <w:rPr>
                <w:sz w:val="20"/>
              </w:rPr>
              <w:t>Template ready before first E-Series commissioning (date needed from ops)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E</w:t>
            </w:r>
          </w:p>
        </w:tc>
        <w:tc>
          <w:tcPr>
            <w:tcW w:type="dxa" w:w="2088"/>
          </w:tcPr>
          <w:p>
            <w:r/>
            <w:r>
              <w:rPr>
                <w:sz w:val="20"/>
              </w:rPr>
              <w:t>Feedstock traceability</w:t>
            </w:r>
          </w:p>
        </w:tc>
        <w:tc>
          <w:tcPr>
            <w:tcW w:type="dxa" w:w="3240"/>
          </w:tcPr>
          <w:p>
            <w:r/>
            <w:r>
              <w:rPr>
                <w:sz w:val="20"/>
              </w:rPr>
              <w:t>Truckload-level batches under first-in, first-out accounting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O5</w:t>
            </w:r>
          </w:p>
        </w:tc>
        <w:tc>
          <w:tcPr>
            <w:tcW w:type="dxa" w:w="2808"/>
          </w:tcPr>
          <w:p>
            <w:r/>
            <w:r>
              <w:rPr>
                <w:sz w:val="20"/>
              </w:rPr>
              <w:t>Tied to super sack and tote phase-out (date needed from ops)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F</w:t>
            </w:r>
          </w:p>
        </w:tc>
        <w:tc>
          <w:tcPr>
            <w:tcW w:type="dxa" w:w="2088"/>
          </w:tcPr>
          <w:p>
            <w:r/>
            <w:r>
              <w:rPr>
                <w:sz w:val="20"/>
              </w:rPr>
              <w:t>Project documentation</w:t>
            </w:r>
          </w:p>
        </w:tc>
        <w:tc>
          <w:tcPr>
            <w:tcW w:type="dxa" w:w="3240"/>
          </w:tcPr>
          <w:p>
            <w:r/>
            <w:r>
              <w:rPr>
                <w:sz w:val="20"/>
              </w:rPr>
              <w:t>Restructured PDD hosted; updates carried in GHG statement reports, then Certify components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O4</w:t>
            </w:r>
          </w:p>
        </w:tc>
        <w:tc>
          <w:tcPr>
            <w:tcW w:type="dxa" w:w="2808"/>
          </w:tcPr>
          <w:p>
            <w:r/>
            <w:r>
              <w:rPr>
                <w:sz w:val="20"/>
              </w:rPr>
              <w:t>Q1 hosting agreed; Q2–Q4 move to components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G</w:t>
            </w:r>
          </w:p>
        </w:tc>
        <w:tc>
          <w:tcPr>
            <w:tcW w:type="dxa" w:w="2088"/>
          </w:tcPr>
          <w:p>
            <w:r/>
            <w:r>
              <w:rPr>
                <w:sz w:val="20"/>
              </w:rPr>
              <w:t>Multi-pathway products</w:t>
            </w:r>
          </w:p>
        </w:tc>
        <w:tc>
          <w:tcPr>
            <w:tcW w:type="dxa" w:w="3240"/>
          </w:tcPr>
          <w:p>
            <w:r/>
            <w:r>
              <w:rPr>
                <w:sz w:val="20"/>
              </w:rPr>
              <w:t>Lot segregation for biochar to cement/concrete and oil to fuels; shortened validation for new pathways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O1</w:t>
            </w:r>
          </w:p>
        </w:tc>
        <w:tc>
          <w:tcPr>
            <w:tcW w:type="dxa" w:w="2808"/>
          </w:tcPr>
          <w:p>
            <w:r/>
            <w:r>
              <w:rPr>
                <w:sz w:val="20"/>
              </w:rPr>
              <w:t>Tied to commercial timing (not yet set)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H</w:t>
            </w:r>
          </w:p>
        </w:tc>
        <w:tc>
          <w:tcPr>
            <w:tcW w:type="dxa" w:w="2088"/>
          </w:tcPr>
          <w:p>
            <w:r/>
            <w:r>
              <w:rPr>
                <w:sz w:val="20"/>
              </w:rPr>
              <w:t>Verification cadence</w:t>
            </w:r>
          </w:p>
        </w:tc>
        <w:tc>
          <w:tcPr>
            <w:tcW w:type="dxa" w:w="3240"/>
          </w:tcPr>
          <w:p>
            <w:r/>
            <w:r>
              <w:rPr>
                <w:sz w:val="20"/>
              </w:rPr>
              <w:t>Shorter cycle from today’s 5-day turnaround toward a 24-hour cycle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O3</w:t>
            </w:r>
          </w:p>
        </w:tc>
        <w:tc>
          <w:tcPr>
            <w:tcW w:type="dxa" w:w="2808"/>
          </w:tcPr>
          <w:p>
            <w:r/>
            <w:r>
              <w:rPr>
                <w:sz w:val="20"/>
              </w:rPr>
              <w:t>Interim targets to set with Isometric and 350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I</w:t>
            </w:r>
          </w:p>
        </w:tc>
        <w:tc>
          <w:tcPr>
            <w:tcW w:type="dxa" w:w="2088"/>
          </w:tcPr>
          <w:p>
            <w:r/>
            <w:r>
              <w:rPr>
                <w:sz w:val="20"/>
              </w:rPr>
              <w:t>Registry delivery</w:t>
            </w:r>
          </w:p>
        </w:tc>
        <w:tc>
          <w:tcPr>
            <w:tcW w:type="dxa" w:w="3240"/>
          </w:tcPr>
          <w:p>
            <w:r/>
            <w:r>
              <w:rPr>
                <w:sz w:val="20"/>
              </w:rPr>
              <w:t>Order fulfillment flow shows the end customer and delivers from within the order</w:t>
            </w:r>
          </w:p>
        </w:tc>
        <w:tc>
          <w:tcPr>
            <w:tcW w:type="dxa" w:w="10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08"/>
          </w:tcPr>
          <w:p>
            <w:r/>
            <w:r>
              <w:rPr>
                <w:sz w:val="20"/>
              </w:rPr>
              <w:t>Raise Q4 2026; fix on Isometric’s side</w:t>
            </w:r>
          </w:p>
        </w:tc>
      </w:tr>
    </w:tbl>
    <w:p>
      <w:pPr>
        <w:spacing w:after="40"/>
      </w:pPr>
    </w:p>
    <w:p>
      <w:pPr>
        <w:pStyle w:val="Heading1"/>
      </w:pPr>
      <w:r>
        <w:t>5. Workstream detail</w:t>
      </w:r>
    </w:p>
    <w:p>
      <w:pPr>
        <w:pStyle w:val="Heading2"/>
      </w:pPr>
      <w:r>
        <w:t>A. Certify asset model migration</w:t>
      </w:r>
    </w:p>
    <w:p>
      <w:r>
        <w:rPr>
          <w:b/>
        </w:rPr>
        <w:t>Basis</w:t>
      </w:r>
      <w:r>
        <w:rPr>
          <w:i w:val="0"/>
        </w:rPr>
      </w:r>
    </w:p>
    <w:p>
      <w:pPr>
        <w:spacing w:after="60"/>
        <w:ind w:left="432"/>
      </w:pPr>
      <w:r>
        <w:rPr>
          <w:i/>
          <w:sz w:val="20"/>
        </w:rPr>
        <w:t>“The new asset-based data model is rolling out through roughly January 2027.”</w:t>
      </w:r>
      <w:r>
        <w:rPr>
          <w:color w:val="555555"/>
          <w:sz w:val="18"/>
        </w:rPr>
        <w:t xml:space="preserve">  [S1]</w:t>
      </w:r>
    </w:p>
    <w:p>
      <w:pPr>
        <w:spacing w:after="60"/>
        <w:ind w:left="432"/>
      </w:pPr>
      <w:r>
        <w:rPr>
          <w:i/>
          <w:sz w:val="20"/>
        </w:rPr>
        <w:t>“Sites feature: 4 months in, still not useful; need to push on this in person”</w:t>
      </w:r>
      <w:r>
        <w:rPr>
          <w:color w:val="555555"/>
          <w:sz w:val="18"/>
        </w:rPr>
        <w:t xml:space="preserve">  [S5]</w:t>
      </w:r>
    </w:p>
    <w:p>
      <w:r>
        <w:rPr>
          <w:b/>
        </w:rPr>
        <w:t>Charm work</w:t>
      </w:r>
      <w:r>
        <w:rPr>
          <w:i w:val="0"/>
        </w:rPr>
      </w:r>
    </w:p>
    <w:p>
      <w:pPr>
        <w:pStyle w:val="ListBullet"/>
        <w:spacing w:after="40"/>
      </w:pPr>
      <w:r>
        <w:t>Inventory assets by type (sites, activities, materials) for Fort Lupton, Basco 6, AECN and feedstock sources; Vaulted as non-operating.</w:t>
      </w:r>
    </w:p>
    <w:p>
      <w:pPr>
        <w:pStyle w:val="ListBullet"/>
        <w:spacing w:after="40"/>
      </w:pPr>
      <w:r>
        <w:t>Use the D-Series and Basco 6 submissions as the pattern: Isometric “has mapped which requirements sit at project design, facility and storage location level.” [S6]</w:t>
      </w:r>
    </w:p>
    <w:p>
      <w:pPr>
        <w:pStyle w:val="ListBullet"/>
        <w:spacing w:after="40"/>
      </w:pPr>
      <w:r>
        <w:t>Give Isometric written feedback on the Sites feature; Sophie: “it's our first time using this asset so open to feedback here!” [S7]</w:t>
      </w:r>
    </w:p>
    <w:p>
      <w:r>
        <w:rPr>
          <w:b/>
        </w:rPr>
        <w:t>Open questions</w:t>
      </w:r>
      <w:r>
        <w:rPr>
          <w:i w:val="0"/>
        </w:rPr>
      </w:r>
    </w:p>
    <w:p>
      <w:pPr>
        <w:pStyle w:val="ListBullet"/>
        <w:spacing w:after="40"/>
      </w:pPr>
      <w:r>
        <w:t>Do already-validated sites re-submit on the new model, or migrate as-is?</w:t>
      </w:r>
    </w:p>
    <w:p>
      <w:pPr>
        <w:pStyle w:val="ListBullet"/>
        <w:spacing w:after="40"/>
      </w:pPr>
      <w:r>
        <w:t>Sequence of the three purposes after asset validation: when does crediting run on assets?</w:t>
      </w:r>
    </w:p>
    <w:p>
      <w:pPr>
        <w:pStyle w:val="Heading2"/>
      </w:pPr>
      <w:r>
        <w:t>B. Data flow: operations → Mangrove → Certify</w:t>
      </w:r>
    </w:p>
    <w:p>
      <w:r>
        <w:rPr>
          <w:b/>
        </w:rPr>
        <w:t>Basis</w:t>
      </w:r>
      <w:r>
        <w:rPr>
          <w:i w:val="0"/>
        </w:rPr>
      </w:r>
    </w:p>
    <w:p>
      <w:pPr>
        <w:spacing w:after="60"/>
        <w:ind w:left="432"/>
      </w:pPr>
      <w:r>
        <w:rPr>
          <w:i/>
          <w:sz w:val="20"/>
        </w:rPr>
        <w:t>“Mangrove is event-based, with each data point logged as an event and concatenated into activities, so the mapping between Mangrove concepts and the Certify asset model needs to be clearly defined.”</w:t>
      </w:r>
      <w:r>
        <w:rPr>
          <w:color w:val="555555"/>
          <w:sz w:val="18"/>
        </w:rPr>
        <w:t xml:space="preserve">  [S1]</w:t>
      </w:r>
    </w:p>
    <w:p>
      <w:pPr>
        <w:spacing w:after="60"/>
        <w:ind w:left="432"/>
      </w:pPr>
      <w:r>
        <w:rPr>
          <w:i/>
          <w:sz w:val="20"/>
        </w:rPr>
        <w:t>“Tech stack harmonization: gaining visibility into each other’s roadmaps, staying relevant to each other’s plans, mapping to a 24-hour verification cycle”</w:t>
      </w:r>
      <w:r>
        <w:rPr>
          <w:color w:val="555555"/>
          <w:sz w:val="18"/>
        </w:rPr>
        <w:t xml:space="preserve">  [S5]</w:t>
      </w:r>
    </w:p>
    <w:p>
      <w:r>
        <w:rPr>
          <w:b/>
        </w:rPr>
        <w:t>Charm work</w:t>
      </w:r>
      <w:r>
        <w:rPr>
          <w:i w:val="0"/>
        </w:rPr>
      </w:r>
    </w:p>
    <w:p>
      <w:pPr>
        <w:pStyle w:val="ListBullet"/>
        <w:spacing w:after="40"/>
      </w:pPr>
      <w:r>
        <w:t>Agree a written Mangrove-event-to-Certify-asset map with Isometric and Mangrove.</w:t>
      </w:r>
    </w:p>
    <w:p>
      <w:pPr>
        <w:pStyle w:val="ListBullet"/>
        <w:spacing w:after="40"/>
      </w:pPr>
      <w:r>
        <w:t>Evidence attachment: Mangrove scope is “Dreamline Oil first, then ACN; goal is to reduce attachment volume (e.g. 35 totes currently generates 35 attachments)”, estimated “2–4 weeks out” from 13 October. [S8]</w:t>
      </w:r>
    </w:p>
    <w:p>
      <w:pPr>
        <w:pStyle w:val="ListBullet"/>
        <w:spacing w:after="40"/>
      </w:pPr>
      <w:r>
        <w:t>NetSuite evidence flow: “evidence file uploaded, Mangrove OCR populates event fields.” [S8]</w:t>
      </w:r>
    </w:p>
    <w:p>
      <w:pPr>
        <w:pStyle w:val="ListBullet"/>
        <w:spacing w:after="40"/>
      </w:pPr>
      <w:r>
        <w:t>CharmOS feeds: modules live are “Scale Tickets/Inventory/Injection/Sparking”, next “Launch AECN on CharmOS”. [S9]</w:t>
      </w:r>
    </w:p>
    <w:p>
      <w:r>
        <w:rPr>
          <w:b/>
        </w:rPr>
        <w:t>Open questions</w:t>
      </w:r>
      <w:r>
        <w:rPr>
          <w:i w:val="0"/>
        </w:rPr>
      </w:r>
    </w:p>
    <w:p>
      <w:pPr>
        <w:pStyle w:val="ListBullet"/>
        <w:spacing w:after="40"/>
      </w:pPr>
      <w:r>
        <w:t>Who owns the event-to-asset map: Isometric, Mangrove or Charm?</w:t>
      </w:r>
    </w:p>
    <w:p>
      <w:pPr>
        <w:pStyle w:val="Heading2"/>
      </w:pPr>
      <w:r>
        <w:t>C. GHG entry structure and QA</w:t>
      </w:r>
    </w:p>
    <w:p>
      <w:r>
        <w:rPr>
          <w:b/>
        </w:rPr>
        <w:t>Basis</w:t>
      </w:r>
      <w:r>
        <w:rPr>
          <w:i w:val="0"/>
        </w:rPr>
      </w:r>
    </w:p>
    <w:p>
      <w:pPr>
        <w:spacing w:after="60"/>
        <w:ind w:left="432"/>
      </w:pPr>
      <w:r>
        <w:rPr>
          <w:i/>
          <w:sz w:val="20"/>
        </w:rPr>
        <w:t>“The current structure is one GHG entry per week, per source, per site, running Friday to Friday. The weekly cadence makes operational QA issues easier to catch and resolve.”</w:t>
      </w:r>
      <w:r>
        <w:rPr>
          <w:color w:val="555555"/>
          <w:sz w:val="18"/>
        </w:rPr>
        <w:t xml:space="preserve">  [S1]</w:t>
      </w:r>
    </w:p>
    <w:p>
      <w:pPr>
        <w:spacing w:after="60"/>
        <w:ind w:left="432"/>
      </w:pPr>
      <w:r>
        <w:rPr>
          <w:i/>
          <w:sz w:val="20"/>
        </w:rPr>
        <w:t>“Lot emissions (carbon intensity, transport, carbon content, mass) are treated separately from site emissions (electricity, liquid fuel, injection site work), which are deducted as a single value.”</w:t>
      </w:r>
      <w:r>
        <w:rPr>
          <w:color w:val="555555"/>
          <w:sz w:val="18"/>
        </w:rPr>
        <w:t xml:space="preserve">  [S1]</w:t>
      </w:r>
    </w:p>
    <w:p>
      <w:r>
        <w:rPr>
          <w:b/>
        </w:rPr>
        <w:t>Charm work</w:t>
      </w:r>
      <w:r>
        <w:rPr>
          <w:i w:val="0"/>
        </w:rPr>
      </w:r>
    </w:p>
    <w:p>
      <w:pPr>
        <w:pStyle w:val="ListBullet"/>
        <w:spacing w:after="40"/>
      </w:pPr>
      <w:r>
        <w:t>Link lot and site components to assets (injection events, pyrolysis activities, storage events) once workstream A validates them.</w:t>
      </w:r>
    </w:p>
    <w:p>
      <w:pPr>
        <w:pStyle w:val="ListBullet"/>
        <w:spacing w:after="40"/>
      </w:pPr>
      <w:r>
        <w:t>Rebuild QA checklists around asset-linked components so each component is checked once, not per weekly entry.</w:t>
      </w:r>
    </w:p>
    <w:p>
      <w:r>
        <w:rPr>
          <w:b/>
        </w:rPr>
        <w:t>Open questions</w:t>
      </w:r>
      <w:r>
        <w:rPr>
          <w:i w:val="0"/>
        </w:rPr>
      </w:r>
    </w:p>
    <w:p>
      <w:pPr>
        <w:pStyle w:val="ListBullet"/>
        <w:spacing w:after="40"/>
      </w:pPr>
      <w:r>
        <w:t>Does the weekly per-source, per-site entry survive the asset model, or do entries re-base on storage events?</w:t>
      </w:r>
    </w:p>
    <w:p>
      <w:pPr>
        <w:pStyle w:val="Heading2"/>
      </w:pPr>
      <w:r>
        <w:t>D. Scale-up: E-Series and new sites</w:t>
      </w:r>
    </w:p>
    <w:p>
      <w:r>
        <w:rPr>
          <w:b/>
        </w:rPr>
        <w:t>Basis</w:t>
      </w:r>
      <w:r>
        <w:rPr>
          <w:i w:val="0"/>
        </w:rPr>
      </w:r>
    </w:p>
    <w:p>
      <w:pPr>
        <w:spacing w:after="60"/>
        <w:ind w:left="432"/>
      </w:pPr>
      <w:r>
        <w:rPr>
          <w:i/>
          <w:sz w:val="20"/>
        </w:rPr>
        <w:t>“~10 E-Series are targeted for next year”</w:t>
      </w:r>
      <w:r>
        <w:rPr>
          <w:color w:val="555555"/>
          <w:sz w:val="18"/>
        </w:rPr>
        <w:t xml:space="preserve">  [S1]</w:t>
      </w:r>
    </w:p>
    <w:p>
      <w:pPr>
        <w:spacing w:after="60"/>
        <w:ind w:left="432"/>
      </w:pPr>
      <w:r>
        <w:rPr>
          <w:i/>
          <w:sz w:val="20"/>
        </w:rPr>
        <w:t>“Reporting efficiencies so adding sites doesn’t extend verification cycles”</w:t>
      </w:r>
      <w:r>
        <w:rPr>
          <w:color w:val="555555"/>
          <w:sz w:val="18"/>
        </w:rPr>
        <w:t xml:space="preserve">  [S5]</w:t>
      </w:r>
    </w:p>
    <w:p>
      <w:pPr>
        <w:spacing w:after="60"/>
        <w:ind w:left="432"/>
      </w:pPr>
      <w:r>
        <w:rPr>
          <w:i/>
          <w:sz w:val="20"/>
        </w:rPr>
        <w:t>“Streamlined new asset validation for wells and production sites”</w:t>
      </w:r>
      <w:r>
        <w:rPr>
          <w:color w:val="555555"/>
          <w:sz w:val="18"/>
        </w:rPr>
        <w:t xml:space="preserve">  [S5]</w:t>
      </w:r>
    </w:p>
    <w:p>
      <w:r>
        <w:rPr>
          <w:b/>
        </w:rPr>
        <w:t>Charm work</w:t>
      </w:r>
      <w:r>
        <w:rPr>
          <w:i w:val="0"/>
        </w:rPr>
      </w:r>
    </w:p>
    <w:p>
      <w:pPr>
        <w:pStyle w:val="ListBullet"/>
        <w:spacing w:after="40"/>
      </w:pPr>
      <w:r>
        <w:t>Turn the D-Series Certify submission into a reusable pyrolyzer asset template.</w:t>
      </w:r>
    </w:p>
    <w:p>
      <w:pPr>
        <w:pStyle w:val="ListBullet"/>
        <w:spacing w:after="40"/>
      </w:pPr>
      <w:r>
        <w:t>Get the E-Series commissioning schedule from operations and back-plan each validation.</w:t>
      </w:r>
    </w:p>
    <w:p>
      <w:pPr>
        <w:pStyle w:val="ListBullet"/>
        <w:spacing w:after="40"/>
      </w:pPr>
      <w:r>
        <w:t>Record the D-Series outcome (decommission or mobile fleet) as asset status once decided.</w:t>
      </w:r>
    </w:p>
    <w:p>
      <w:r>
        <w:rPr>
          <w:b/>
        </w:rPr>
        <w:t>Open questions</w:t>
      </w:r>
      <w:r>
        <w:rPr>
          <w:i w:val="0"/>
        </w:rPr>
      </w:r>
    </w:p>
    <w:p>
      <w:pPr>
        <w:pStyle w:val="ListBullet"/>
        <w:spacing w:after="40"/>
      </w:pPr>
      <w:r>
        <w:t>Can E-Series units of one design be validated as a class rather than unit by unit?</w:t>
      </w:r>
    </w:p>
    <w:p>
      <w:pPr>
        <w:pStyle w:val="ListBullet"/>
        <w:spacing w:after="40"/>
      </w:pPr>
      <w:r>
        <w:t>Does a mobile D-Series fleet need a site record per location?</w:t>
      </w:r>
    </w:p>
    <w:p>
      <w:pPr>
        <w:pStyle w:val="Heading2"/>
      </w:pPr>
      <w:r>
        <w:t>E. Feedstock traceability</w:t>
      </w:r>
    </w:p>
    <w:p>
      <w:r>
        <w:rPr>
          <w:b/>
        </w:rPr>
        <w:t>Basis</w:t>
      </w:r>
      <w:r>
        <w:rPr>
          <w:i w:val="0"/>
        </w:rPr>
      </w:r>
    </w:p>
    <w:p>
      <w:pPr>
        <w:spacing w:after="60"/>
        <w:ind w:left="432"/>
      </w:pPr>
      <w:r>
        <w:rPr>
          <w:i/>
          <w:sz w:val="20"/>
        </w:rPr>
        <w:t>“Individual feedstock batches won’t be able to be traced to a specific pyrolysis event or production batch, because granular tracking is lost once material enters the drying facility.”</w:t>
      </w:r>
      <w:r>
        <w:rPr>
          <w:color w:val="555555"/>
          <w:sz w:val="18"/>
        </w:rPr>
        <w:t xml:space="preserve">  [S1]</w:t>
      </w:r>
    </w:p>
    <w:p>
      <w:pPr>
        <w:spacing w:after="60"/>
        <w:ind w:left="432"/>
      </w:pPr>
      <w:r>
        <w:rPr>
          <w:i/>
          <w:sz w:val="20"/>
        </w:rPr>
        <w:t>“The approach is to validate feedstock sources upfront and only draw from validated sources.”</w:t>
      </w:r>
      <w:r>
        <w:rPr>
          <w:color w:val="555555"/>
          <w:sz w:val="18"/>
        </w:rPr>
        <w:t xml:space="preserve">  [S1]</w:t>
      </w:r>
    </w:p>
    <w:p>
      <w:r>
        <w:rPr>
          <w:b/>
        </w:rPr>
        <w:t>Charm work</w:t>
      </w:r>
      <w:r>
        <w:rPr>
          <w:i w:val="0"/>
        </w:rPr>
      </w:r>
    </w:p>
    <w:p>
      <w:pPr>
        <w:pStyle w:val="ListBullet"/>
        <w:spacing w:after="40"/>
      </w:pPr>
      <w:r>
        <w:t>Keep feedstock sources as validated material assets; draw only from validated sources.</w:t>
      </w:r>
    </w:p>
    <w:p>
      <w:pPr>
        <w:pStyle w:val="ListBullet"/>
        <w:spacing w:after="40"/>
      </w:pPr>
      <w:r>
        <w:t>Move batching to truckload level under first-in, first-out accounting as super sacks and totes phase out.</w:t>
      </w:r>
    </w:p>
    <w:p>
      <w:r>
        <w:rPr>
          <w:b/>
        </w:rPr>
        <w:t>Open questions</w:t>
      </w:r>
      <w:r>
        <w:rPr>
          <w:i w:val="0"/>
        </w:rPr>
      </w:r>
    </w:p>
    <w:p>
      <w:pPr>
        <w:pStyle w:val="ListBullet"/>
        <w:spacing w:after="40"/>
      </w:pPr>
      <w:r>
        <w:t>Which counterfactual rule changes apply in 2027, and from what date?</w:t>
      </w:r>
    </w:p>
    <w:p>
      <w:pPr>
        <w:pStyle w:val="Heading2"/>
      </w:pPr>
      <w:r>
        <w:t>F. Project documentation</w:t>
      </w:r>
    </w:p>
    <w:p>
      <w:r>
        <w:rPr>
          <w:b/>
        </w:rPr>
        <w:t>Basis</w:t>
      </w:r>
      <w:r>
        <w:rPr>
          <w:i w:val="0"/>
        </w:rPr>
      </w:r>
    </w:p>
    <w:p>
      <w:pPr>
        <w:spacing w:after="60"/>
        <w:ind w:left="432"/>
      </w:pPr>
      <w:r>
        <w:rPr>
          <w:i/>
          <w:sz w:val="20"/>
        </w:rPr>
        <w:t>“The PDD restructure into a modular format is around 90% complete. Going forward, updates can be captured in the GHG statement report rather than by treating the PDD as a living document.”</w:t>
      </w:r>
      <w:r>
        <w:rPr>
          <w:color w:val="555555"/>
          <w:sz w:val="18"/>
        </w:rPr>
        <w:t xml:space="preserve">  [S3]</w:t>
      </w:r>
    </w:p>
    <w:p>
      <w:pPr>
        <w:spacing w:after="60"/>
        <w:ind w:left="432"/>
      </w:pPr>
      <w:r>
        <w:rPr>
          <w:i/>
          <w:sz w:val="20"/>
        </w:rPr>
        <w:t>“We noted the buyer diligence concern. In the near term we'll agree where the restructured PDD should live for now”</w:t>
      </w:r>
      <w:r>
        <w:rPr>
          <w:color w:val="555555"/>
          <w:sz w:val="18"/>
        </w:rPr>
        <w:t xml:space="preserve">  [S3]</w:t>
      </w:r>
    </w:p>
    <w:p>
      <w:r>
        <w:rPr>
          <w:b/>
        </w:rPr>
        <w:t>Charm work</w:t>
      </w:r>
      <w:r>
        <w:rPr>
          <w:i w:val="0"/>
        </w:rPr>
      </w:r>
    </w:p>
    <w:p>
      <w:pPr>
        <w:pStyle w:val="ListBullet"/>
        <w:spacing w:after="40"/>
      </w:pPr>
      <w:r>
        <w:t>Finish the tiered PDD restructure and agree its hosting with Isometric.</w:t>
      </w:r>
    </w:p>
    <w:p>
      <w:pPr>
        <w:pStyle w:val="ListBullet"/>
        <w:spacing w:after="40"/>
      </w:pPr>
      <w:r>
        <w:t>Carry project changes in each GHG statement report.</w:t>
      </w:r>
    </w:p>
    <w:p>
      <w:pPr>
        <w:pStyle w:val="ListBullet"/>
        <w:spacing w:after="40"/>
      </w:pPr>
      <w:r>
        <w:t>Map PDD tiers to Certify components so the exported components can replace the PDD.</w:t>
      </w:r>
    </w:p>
    <w:p>
      <w:r>
        <w:rPr>
          <w:b/>
        </w:rPr>
        <w:t>Open questions</w:t>
      </w:r>
      <w:r>
        <w:rPr>
          <w:i w:val="0"/>
        </w:rPr>
      </w:r>
    </w:p>
    <w:p>
      <w:pPr>
        <w:pStyle w:val="ListBullet"/>
        <w:spacing w:after="40"/>
      </w:pPr>
      <w:r>
        <w:t>When will Certify components be exportable as a project document?</w:t>
      </w:r>
    </w:p>
    <w:p>
      <w:pPr>
        <w:pStyle w:val="Heading2"/>
      </w:pPr>
      <w:r>
        <w:t>G. Multi-pathway products</w:t>
      </w:r>
    </w:p>
    <w:p>
      <w:r>
        <w:rPr>
          <w:b/>
        </w:rPr>
        <w:t>Basis</w:t>
      </w:r>
      <w:r>
        <w:rPr>
          <w:i w:val="0"/>
        </w:rPr>
      </w:r>
    </w:p>
    <w:p>
      <w:pPr>
        <w:spacing w:after="60"/>
        <w:ind w:left="432"/>
      </w:pPr>
      <w:r>
        <w:rPr>
          <w:i/>
          <w:sz w:val="20"/>
        </w:rPr>
        <w:t>“On splitting products across pathways (e.g. biochar to cement/concrete vs geologic storage), the Certify sites and assets framework should support segregation by lot.”</w:t>
      </w:r>
      <w:r>
        <w:rPr>
          <w:color w:val="555555"/>
          <w:sz w:val="18"/>
        </w:rPr>
        <w:t xml:space="preserve">  [S3]</w:t>
      </w:r>
    </w:p>
    <w:p>
      <w:pPr>
        <w:spacing w:after="60"/>
        <w:ind w:left="432"/>
      </w:pPr>
      <w:r>
        <w:rPr>
          <w:i/>
          <w:sz w:val="20"/>
        </w:rPr>
        <w:t>“Truncated validation for already-validated projects opening new pathways (biochar into cement, oil to renewable fuels)”</w:t>
      </w:r>
      <w:r>
        <w:rPr>
          <w:color w:val="555555"/>
          <w:sz w:val="18"/>
        </w:rPr>
        <w:t xml:space="preserve">  [S5]</w:t>
      </w:r>
    </w:p>
    <w:p>
      <w:r>
        <w:rPr>
          <w:b/>
        </w:rPr>
        <w:t>Charm work</w:t>
      </w:r>
      <w:r>
        <w:rPr>
          <w:i w:val="0"/>
        </w:rPr>
      </w:r>
    </w:p>
    <w:p>
      <w:pPr>
        <w:pStyle w:val="ListBullet"/>
        <w:spacing w:after="40"/>
      </w:pPr>
      <w:r>
        <w:t>Define lot segregation rules for biochar and bio-oil leaving the same production asset.</w:t>
      </w:r>
    </w:p>
    <w:p>
      <w:pPr>
        <w:pStyle w:val="ListBullet"/>
        <w:spacing w:after="40"/>
      </w:pPr>
      <w:r>
        <w:t>Agree a shortened validation path for new pathways on the existing project.</w:t>
      </w:r>
    </w:p>
    <w:p>
      <w:r>
        <w:rPr>
          <w:b/>
        </w:rPr>
        <w:t>Open questions</w:t>
      </w:r>
      <w:r>
        <w:rPr>
          <w:i w:val="0"/>
        </w:rPr>
      </w:r>
    </w:p>
    <w:p>
      <w:pPr>
        <w:pStyle w:val="ListBullet"/>
        <w:spacing w:after="40"/>
      </w:pPr>
      <w:r>
        <w:t>How is the protocol-level split between biochar and bio-oil handled within one production site?</w:t>
      </w:r>
    </w:p>
    <w:p>
      <w:pPr>
        <w:pStyle w:val="Heading2"/>
      </w:pPr>
      <w:r>
        <w:t>H. Verification cadence</w:t>
      </w:r>
    </w:p>
    <w:p>
      <w:r>
        <w:rPr>
          <w:b/>
        </w:rPr>
        <w:t>Basis</w:t>
      </w:r>
      <w:r>
        <w:rPr>
          <w:i w:val="0"/>
        </w:rPr>
      </w:r>
    </w:p>
    <w:p>
      <w:pPr>
        <w:spacing w:after="60"/>
        <w:ind w:left="432"/>
      </w:pPr>
      <w:r>
        <w:rPr>
          <w:i/>
          <w:sz w:val="20"/>
        </w:rPr>
        <w:t>“November verification (Oct RP) -  5 day turnaround, clean verification (no add ons)”</w:t>
      </w:r>
      <w:r>
        <w:rPr>
          <w:color w:val="555555"/>
          <w:sz w:val="18"/>
        </w:rPr>
        <w:t xml:space="preserve">  [S10]</w:t>
      </w:r>
    </w:p>
    <w:p>
      <w:pPr>
        <w:spacing w:after="60"/>
        <w:ind w:left="432"/>
      </w:pPr>
      <w:r>
        <w:rPr>
          <w:i/>
          <w:sz w:val="20"/>
        </w:rPr>
        <w:t>“Validation of the new method can be separated out in the usual 2-step process with 350 if timing is a concern.”</w:t>
      </w:r>
      <w:r>
        <w:rPr>
          <w:color w:val="555555"/>
          <w:sz w:val="18"/>
        </w:rPr>
        <w:t xml:space="preserve">  [S3]</w:t>
      </w:r>
    </w:p>
    <w:p>
      <w:r>
        <w:rPr>
          <w:b/>
        </w:rPr>
        <w:t>Charm work</w:t>
      </w:r>
      <w:r>
        <w:rPr>
          <w:i w:val="0"/>
        </w:rPr>
      </w:r>
    </w:p>
    <w:p>
      <w:pPr>
        <w:pStyle w:val="ListBullet"/>
        <w:spacing w:after="40"/>
      </w:pPr>
      <w:r>
        <w:t>Make two-step handling standard: verification issues credits; validation of changes closes in the next cycle.</w:t>
      </w:r>
    </w:p>
    <w:p>
      <w:pPr>
        <w:pStyle w:val="ListBullet"/>
        <w:spacing w:after="40"/>
      </w:pPr>
      <w:r>
        <w:t>Set interim turnaround targets for 2027 with Isometric and 350 against the 24-hour aspiration in B.</w:t>
      </w:r>
    </w:p>
    <w:p>
      <w:pPr>
        <w:pStyle w:val="Heading2"/>
      </w:pPr>
      <w:r>
        <w:t>I. Registry delivery</w:t>
      </w:r>
    </w:p>
    <w:p>
      <w:r>
        <w:rPr>
          <w:b/>
        </w:rPr>
        <w:t>Basis</w:t>
      </w:r>
      <w:r>
        <w:rPr>
          <w:i w:val="0"/>
        </w:rPr>
      </w:r>
    </w:p>
    <w:p>
      <w:pPr>
        <w:spacing w:after="60"/>
        <w:ind w:left="432"/>
      </w:pPr>
      <w:r>
        <w:rPr>
          <w:i/>
          <w:sz w:val="20"/>
        </w:rPr>
        <w:t>“‘Deliver’ button inside an order doesn’t actually deliver; redirects to general delivery section”</w:t>
      </w:r>
      <w:r>
        <w:rPr>
          <w:color w:val="555555"/>
          <w:sz w:val="18"/>
        </w:rPr>
        <w:t xml:space="preserve">  [S5]</w:t>
      </w:r>
    </w:p>
    <w:p>
      <w:pPr>
        <w:spacing w:after="60"/>
        <w:ind w:left="432"/>
      </w:pPr>
      <w:r>
        <w:rPr>
          <w:i/>
          <w:sz w:val="20"/>
        </w:rPr>
        <w:t>“From general delivery, end customer isn’t visible on the order”</w:t>
      </w:r>
      <w:r>
        <w:rPr>
          <w:color w:val="555555"/>
          <w:sz w:val="18"/>
        </w:rPr>
        <w:t xml:space="preserve">  [S5]</w:t>
      </w:r>
    </w:p>
    <w:p>
      <w:r>
        <w:rPr>
          <w:b/>
        </w:rPr>
        <w:t>Charm work</w:t>
      </w:r>
      <w:r>
        <w:rPr>
          <w:i w:val="0"/>
        </w:rPr>
      </w:r>
    </w:p>
    <w:p>
      <w:pPr>
        <w:pStyle w:val="ListBullet"/>
        <w:spacing w:after="40"/>
      </w:pPr>
      <w:r>
        <w:t>Log the order fulfillment issues with Isometric product, with Watershed’s matching feedback.</w:t>
      </w:r>
    </w:p>
    <w:p>
      <w:r>
        <w:rPr>
          <w:b/>
        </w:rPr>
        <w:t>Open questions</w:t>
      </w:r>
      <w:r>
        <w:rPr>
          <w:i w:val="0"/>
        </w:rPr>
      </w:r>
    </w:p>
    <w:p>
      <w:pPr>
        <w:pStyle w:val="ListBullet"/>
        <w:spacing w:after="40"/>
      </w:pPr>
      <w:r>
        <w:t>Is the fix on Isometric’s product roadmap, and when?</w:t>
      </w:r>
    </w:p>
    <w:p>
      <w:pPr>
        <w:pStyle w:val="Heading1"/>
      </w:pPr>
      <w:r>
        <w:t>6. Carry-in from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shd w:val="clear" w:color="auto" w:fill="D6E4F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624"/>
            <w:shd w:val="clear" w:color="auto" w:fill="D6E4F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1440"/>
            <w:shd w:val="clear" w:color="auto" w:fill="D6E4F0"/>
          </w:tcPr>
          <w:p>
            <w:r/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16 Oct 2026</w:t>
            </w:r>
          </w:p>
        </w:tc>
        <w:tc>
          <w:tcPr>
            <w:tcW w:type="dxa" w:w="6624"/>
          </w:tcPr>
          <w:p>
            <w:r/>
            <w:r>
              <w:rPr>
                <w:sz w:val="20"/>
              </w:rPr>
              <w:t>D-Series information uploaded to Certify; “350 can issue RFI by 23rd”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S10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~end Oct 2026</w:t>
            </w:r>
          </w:p>
        </w:tc>
        <w:tc>
          <w:tcPr>
            <w:tcW w:type="dxa" w:w="6624"/>
          </w:tcPr>
          <w:p>
            <w:r/>
            <w:r>
              <w:rPr>
                <w:sz w:val="20"/>
              </w:rPr>
              <w:t>Validation reports: new feedstock, D-series pyrolyzers, bio-oil homogenization, KS monitoring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S10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15 Nov 2026</w:t>
            </w:r>
          </w:p>
        </w:tc>
        <w:tc>
          <w:tcPr>
            <w:tcW w:type="dxa" w:w="6624"/>
          </w:tcPr>
          <w:p>
            <w:r/>
            <w:r>
              <w:rPr>
                <w:sz w:val="20"/>
              </w:rPr>
              <w:t>November verification (October reporting period)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S10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14 Dec 2026</w:t>
            </w:r>
          </w:p>
        </w:tc>
        <w:tc>
          <w:tcPr>
            <w:tcW w:type="dxa" w:w="6624"/>
          </w:tcPr>
          <w:p>
            <w:r/>
            <w:r>
              <w:rPr>
                <w:sz w:val="20"/>
              </w:rPr>
              <w:t>Final verification submission of the year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S10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20"/>
              </w:rPr>
              <w:t>By 31 Dec 2026</w:t>
            </w:r>
          </w:p>
        </w:tc>
        <w:tc>
          <w:tcPr>
            <w:tcW w:type="dxa" w:w="6624"/>
          </w:tcPr>
          <w:p>
            <w:r/>
            <w:r>
              <w:rPr>
                <w:sz w:val="20"/>
              </w:rPr>
              <w:t>CCP label for Bio-oil Geological Storage v1.2: “approval expected within this calendar year”; unlabelled credits “will be backfilled once approval is granted”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S6</w:t>
            </w:r>
          </w:p>
        </w:tc>
      </w:tr>
    </w:tbl>
    <w:p>
      <w:pPr>
        <w:spacing w:after="40"/>
      </w:pPr>
    </w:p>
    <w:p>
      <w:pPr>
        <w:pStyle w:val="Heading1"/>
      </w:pPr>
      <w:r>
        <w:t>7. Sources</w:t>
      </w:r>
    </w:p>
    <w:p>
      <w:pPr>
        <w:spacing w:after="20"/>
      </w:pPr>
      <w:r>
        <w:rPr>
          <w:b/>
          <w:sz w:val="19"/>
        </w:rPr>
        <w:t xml:space="preserve">S1  </w:t>
      </w:r>
      <w:r>
        <w:rPr>
          <w:sz w:val="19"/>
        </w:rPr>
        <w:t>Sophie Harris, “Product session” recap, #isometric-charm Slack, 6 Oct 2026.</w:t>
      </w:r>
    </w:p>
    <w:p>
      <w:pPr>
        <w:spacing w:after="20"/>
      </w:pPr>
      <w:r>
        <w:rPr>
          <w:b/>
          <w:sz w:val="19"/>
        </w:rPr>
        <w:t xml:space="preserve">S2  </w:t>
      </w:r>
      <w:r>
        <w:rPr>
          <w:sz w:val="19"/>
        </w:rPr>
        <w:t>Max Lavine, “Notes - Charm &lt;&gt; Isometric Product” (Google Doc), 5 Oct 2026: “Validate assets”, sub-bullet “This is prio in the roll-out”.</w:t>
      </w:r>
    </w:p>
    <w:p>
      <w:pPr>
        <w:spacing w:after="20"/>
      </w:pPr>
      <w:r>
        <w:rPr>
          <w:b/>
          <w:sz w:val="19"/>
        </w:rPr>
        <w:t xml:space="preserve">S3  </w:t>
      </w:r>
      <w:r>
        <w:rPr>
          <w:sz w:val="19"/>
        </w:rPr>
        <w:t>Sophie Harris, “Science session” recap, #isometric-charm Slack, 6 Oct 2026.</w:t>
      </w:r>
    </w:p>
    <w:p>
      <w:pPr>
        <w:spacing w:after="20"/>
      </w:pPr>
      <w:r>
        <w:rPr>
          <w:b/>
          <w:sz w:val="19"/>
        </w:rPr>
        <w:t xml:space="preserve">S4  </w:t>
      </w:r>
      <w:r>
        <w:rPr>
          <w:sz w:val="19"/>
        </w:rPr>
        <w:t>Sophie Harris, D-Series validation plan, #isometric-charm Slack, 7 Oct 2026.</w:t>
      </w:r>
    </w:p>
    <w:p>
      <w:pPr>
        <w:spacing w:after="20"/>
      </w:pPr>
      <w:r>
        <w:rPr>
          <w:b/>
          <w:sz w:val="19"/>
        </w:rPr>
        <w:t xml:space="preserve">S5  </w:t>
      </w:r>
      <w:r>
        <w:rPr>
          <w:sz w:val="19"/>
        </w:rPr>
        <w:t>MRV Team Weekly, 28 Sep 2026 (Granola summary): agenda prepared for the Isometric visit.</w:t>
      </w:r>
    </w:p>
    <w:p>
      <w:pPr>
        <w:spacing w:after="20"/>
      </w:pPr>
      <w:r>
        <w:rPr>
          <w:b/>
          <w:sz w:val="19"/>
        </w:rPr>
        <w:t xml:space="preserve">S6  </w:t>
      </w:r>
      <w:r>
        <w:rPr>
          <w:sz w:val="19"/>
        </w:rPr>
        <w:t>Isometric / Charm Open Items Log, items 86–88 (as updated after the 5 Oct sessions).</w:t>
      </w:r>
    </w:p>
    <w:p>
      <w:pPr>
        <w:spacing w:after="20"/>
      </w:pPr>
      <w:r>
        <w:rPr>
          <w:b/>
          <w:sz w:val="19"/>
        </w:rPr>
        <w:t xml:space="preserve">S7  </w:t>
      </w:r>
      <w:r>
        <w:rPr>
          <w:sz w:val="19"/>
        </w:rPr>
        <w:t>Sophie Harris, reply in #isometric-charm Slack thread, 8 Oct 2026.</w:t>
      </w:r>
    </w:p>
    <w:p>
      <w:pPr>
        <w:spacing w:after="20"/>
      </w:pPr>
      <w:r>
        <w:rPr>
          <w:b/>
          <w:sz w:val="19"/>
        </w:rPr>
        <w:t xml:space="preserve">S8  </w:t>
      </w:r>
      <w:r>
        <w:rPr>
          <w:sz w:val="19"/>
        </w:rPr>
        <w:t>Mangrove/Charm sync, 13 Oct 2026 (Granola summary).</w:t>
      </w:r>
    </w:p>
    <w:p>
      <w:pPr>
        <w:spacing w:after="20"/>
      </w:pPr>
      <w:r>
        <w:rPr>
          <w:b/>
          <w:sz w:val="19"/>
        </w:rPr>
        <w:t xml:space="preserve">S9  </w:t>
      </w:r>
      <w:r>
        <w:rPr>
          <w:sz w:val="19"/>
        </w:rPr>
        <w:t>Shaune Golemon, weekly update, #team-strategery Slack, 13 Oct 2026.</w:t>
      </w:r>
    </w:p>
    <w:p>
      <w:pPr>
        <w:spacing w:after="20"/>
      </w:pPr>
      <w:r>
        <w:rPr>
          <w:b/>
          <w:sz w:val="19"/>
        </w:rPr>
        <w:t xml:space="preserve">S10  </w:t>
      </w:r>
      <w:r>
        <w:rPr>
          <w:sz w:val="19"/>
        </w:rPr>
        <w:t>Sophie Harris, timeline built with 350Solutions, #isometric-charm Slack, 14 Oct 2026.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