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60"/>
      </w:pPr>
      <w:r>
        <w:rPr>
          <w:rFonts w:ascii="맑은 고딕" w:eastAsia="맑은 고딕" w:hAnsi="맑은 고딕" w:cs="맑은 고딕"/>
          <w:b/>
          <w:bCs/>
          <w:color w:val="1A1A1A"/>
          <w:sz w:val="34"/>
          <w:szCs w:val="34"/>
        </w:rPr>
        <w:t>22-state GFM 인버터 소신호 모델 구축 및 검증</w:t>
      </w:r>
    </w:p>
    <w:p>
      <w:pPr>
        <w:jc w:val="center"/>
        <w:spacing w:after="40"/>
      </w:pPr>
      <w:r>
        <w:rPr>
          <w:rFonts w:ascii="맑은 고딕" w:eastAsia="맑은 고딕" w:hAnsi="맑은 고딕" w:cs="맑은 고딕"/>
          <w:color w:val="5A6570"/>
          <w:sz w:val="24"/>
          <w:szCs w:val="24"/>
        </w:rPr>
        <w:t>Phase 2 — 야코비안 유도·검증 결과 보고</w:t>
      </w:r>
    </w:p>
    <w:p>
      <w:pPr>
        <w:jc w:val="center"/>
        <w:spacing w:after="320"/>
      </w:pPr>
      <w:r>
        <w:rPr>
          <w:rFonts w:ascii="맑은 고딕" w:eastAsia="맑은 고딕" w:hAnsi="맑은 고딕" w:cs="맑은 고딕"/>
          <w:color w:val="5A6570"/>
          <w:sz w:val="18"/>
          <w:szCs w:val="18"/>
        </w:rPr>
        <w:t xml:space="preserve">조연호 · 연세대학교 전기전자공학부 스마트그리드 연구실 · 2026년 </w:t>
      </w:r>
      <w:r>
        <w:rPr>
          <w:lang w:eastAsia="ko-KR"/>
          <w:rFonts w:ascii="맑은 고딕" w:eastAsia="맑은 고딕" w:hAnsi="맑은 고딕" w:cs="맑은 고딕"/>
          <w:color w:val="5A6570"/>
          <w:sz w:val="18"/>
          <w:szCs w:val="18"/>
          <w:rtl w:val="off"/>
        </w:rPr>
        <w:t>8</w:t>
      </w:r>
      <w:r>
        <w:rPr>
          <w:rFonts w:ascii="맑은 고딕" w:eastAsia="맑은 고딕" w:hAnsi="맑은 고딕" w:cs="맑은 고딕"/>
          <w:color w:val="5A6570"/>
          <w:sz w:val="18"/>
          <w:szCs w:val="18"/>
        </w:rPr>
        <w:t>월</w:t>
      </w:r>
      <w:r>
        <w:rPr>
          <w:lang w:eastAsia="ko-KR"/>
          <w:rFonts w:ascii="맑은 고딕" w:eastAsia="맑은 고딕" w:hAnsi="맑은 고딕" w:cs="맑은 고딕"/>
          <w:color w:val="5A6570"/>
          <w:sz w:val="18"/>
          <w:szCs w:val="18"/>
          <w:rtl w:val="off"/>
        </w:rPr>
        <w:t>31일</w:t>
      </w:r>
    </w:p>
    <w:p>
      <w:pPr>
        <w:pStyle w:val="Heading1"/>
        <w:spacing w:after="130" w:before="260"/>
      </w:pPr>
      <w:r>
        <w:rPr>
          <w:rFonts w:ascii="맑은 고딕" w:eastAsia="맑은 고딕" w:hAnsi="맑은 고딕" w:cs="맑은 고딕"/>
          <w:b/>
          <w:bCs/>
          <w:color w:val="1A1A1A"/>
          <w:sz w:val="28"/>
          <w:szCs w:val="28"/>
        </w:rPr>
        <w:t>1. 개요</w:t>
      </w:r>
    </w:p>
    <w:p>
      <w:pPr>
        <w:spacing w:after="120" w:before="0"/>
      </w:pPr>
      <w:r>
        <w:rPr>
          <w:rFonts w:ascii="맑은 고딕" w:eastAsia="맑은 고딕" w:hAnsi="맑은 고딕" w:cs="맑은 고딕"/>
          <w:sz w:val="20"/>
          <w:szCs w:val="20"/>
        </w:rPr>
        <w:t>2단 PV+ESS Grid-Forming 인버터의 소신호 안정도 해석을 위한 22차 상태공간 모델을 구축하고 검증하였다. 기존 21차 모델(v0)의 구조적 결함을 발견해 폐기하고, 물리 방정식에서 상태변수를 재유도하는 방식으로 전면 재구성하였다.</w:t>
      </w:r>
    </w:p>
    <w:p>
      <w:pPr>
        <w:spacing w:after="120" w:before="0"/>
        <w:rPr>
          <w:lang/>
          <w:rFonts w:ascii="맑은 고딕" w:eastAsia="맑은 고딕" w:hAnsi="맑은 고딕" w:cs="맑은 고딕"/>
          <w:sz w:val="20"/>
          <w:szCs w:val="20"/>
          <w:rtl w:val="off"/>
        </w:rPr>
      </w:pPr>
      <w:r>
        <w:rPr>
          <w:rFonts w:ascii="맑은 고딕" w:eastAsia="맑은 고딕" w:hAnsi="맑은 고딕" w:cs="맑은 고딕"/>
          <w:sz w:val="20"/>
          <w:szCs w:val="20"/>
        </w:rPr>
        <w:t>구축한 파이프라인은 심볼릭 모델 정의, 동작점 계산, 배치 실행, 참여계수 분석, 선형화 유효성 검증의 다섯 단계로 구성된다. 계통 조건과 제어 파라미터를 입력으로 받아 심볼릭 상태방정식에서 야코비안을 유도하고, 운전 조건별 동작점을 수치 해석으로 구한 뒤 그 점에서 평가한 수치 야코비안을 세 갈래의 해석 모듈에 전달하는 구조이다.</w:t>
      </w:r>
    </w:p>
    <w:p>
      <w:pPr>
        <w:spacing w:after="120" w:before="0"/>
      </w:pPr>
      <w:r>
        <w:drawing>
          <wp:inline distT="0" distB="0" distL="180" distR="180">
            <wp:extent cx="5731510" cy="3425190"/>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731510" cy="3425190"/>
                    </a:xfrm>
                    <a:prstGeom prst="rect"/>
                  </pic:spPr>
                </pic:pic>
              </a:graphicData>
            </a:graphic>
          </wp:inline>
        </w:drawing>
      </w:r>
    </w:p>
    <w:p>
      <w:pPr>
        <w:jc w:val="center"/>
        <w:spacing w:after="60" w:before="160"/>
      </w:pPr>
      <w:r>
        <w:drawing>
          <wp:inline distT="0" distB="0" distL="0" distR="0">
            <wp:extent cx="5715000" cy="2143125"/>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5715000" cy="2143125"/>
                    </a:xfrm>
                    <a:prstGeom prst="rect"/>
                  </pic:spPr>
                </pic:pic>
              </a:graphicData>
            </a:graphic>
          </wp:inline>
        </w:drawing>
      </w:r>
    </w:p>
    <w:p>
      <w:pPr>
        <w:jc w:val="center"/>
        <w:spacing w:after="220"/>
      </w:pPr>
      <w:r>
        <w:rPr>
          <w:rFonts w:ascii="맑은 고딕" w:eastAsia="맑은 고딕" w:hAnsi="맑은 고딕" w:cs="맑은 고딕"/>
          <w:color w:val="5A6570"/>
          <w:sz w:val="17"/>
          <w:szCs w:val="17"/>
        </w:rPr>
        <w:t>그림 1. 22-state 소신호 모델 해석 파이프라인</w:t>
      </w:r>
    </w:p>
    <w:p>
      <w:pPr>
        <w:pStyle w:val="Heading1"/>
        <w:spacing w:after="130" w:before="260"/>
      </w:pPr>
      <w:r>
        <w:rPr>
          <w:rFonts w:ascii="맑은 고딕" w:eastAsia="맑은 고딕" w:hAnsi="맑은 고딕" w:cs="맑은 고딕"/>
          <w:b/>
          <w:bCs/>
          <w:color w:val="1A1A1A"/>
          <w:sz w:val="28"/>
          <w:szCs w:val="28"/>
        </w:rPr>
        <w:t>2. 모델 구성</w:t>
      </w:r>
    </w:p>
    <w:p>
      <w:pPr>
        <w:pStyle w:val="Heading2"/>
        <w:spacing w:after="130" w:before="260"/>
      </w:pPr>
      <w:r>
        <w:rPr>
          <w:rFonts w:ascii="맑은 고딕" w:eastAsia="맑은 고딕" w:hAnsi="맑은 고딕" w:cs="맑은 고딕"/>
          <w:b/>
          <w:bCs/>
          <w:color w:val="1A1A1A"/>
          <w:sz w:val="24"/>
          <w:szCs w:val="24"/>
        </w:rPr>
        <w:t>2.1 상태변수</w:t>
      </w:r>
    </w:p>
    <w:p>
      <w:pPr>
        <w:spacing w:after="120" w:before="0"/>
      </w:pPr>
      <w:r>
        <w:rPr>
          <w:rFonts w:ascii="맑은 고딕" w:eastAsia="맑은 고딕" w:hAnsi="맑은 고딕" w:cs="맑은 고딕"/>
          <w:sz w:val="20"/>
          <w:szCs w:val="20"/>
        </w:rPr>
        <w:t>상태변수 22개는 DC측 8개와 AC측 14개로 구성된다. 차수는 사전에 정한 값이 아니라 물리 방정식에서 유도된 결과이다.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7800"/>
      </w:tblGrid>
      <w:tr>
        <w:trPr>
          <w:tblHeader/>
        </w:trPr>
        <w:tc>
          <w:tcPr>
            <w:tcW w:w="156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구분</w:t>
            </w:r>
          </w:p>
        </w:tc>
        <w:tc>
          <w:tcPr>
            <w:tcW w:w="780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상태변수</w:t>
            </w:r>
          </w:p>
        </w:tc>
      </w:tr>
      <w:tr>
        <w:tc>
          <w:tcPr>
            <w:tcW w:w="156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DC (8)</w:t>
            </w:r>
          </w:p>
        </w:tc>
        <w:tc>
          <w:tcPr>
            <w:tcW w:w="7800" w:type="dxa"/>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v_pv, i_Lpv, x_vpv, x_ipv, v_dc, i_Less, x_vdc, x_iess</w:t>
            </w:r>
          </w:p>
        </w:tc>
      </w:tr>
      <w:tr>
        <w:tc>
          <w:tcPr>
            <w:tcW w:w="156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AC (14)</w:t>
            </w:r>
          </w:p>
        </w:tc>
        <w:tc>
          <w:tcPr>
            <w:tcW w:w="7800" w:type="dxa"/>
            <w:shd w:val="clear" w:color="auto" w:fill="F2F4F6"/>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delta, dw, Pf, Qf, phi_d, phi_q, gam_d, gam_q, i_ld, i_lq, v_od, v_oq, i_od, i_oq</w:t>
            </w:r>
          </w:p>
        </w:tc>
      </w:tr>
    </w:tbl>
    <w:p>
      <w:pPr>
        <w:spacing w:after="180"/>
      </w:pPr>
    </w:p>
    <w:p>
      <w:pPr>
        <w:spacing w:after="120" w:before="0"/>
      </w:pPr>
      <w:r>
        <w:rPr>
          <w:rFonts w:ascii="맑은 고딕" w:eastAsia="맑은 고딕" w:hAnsi="맑은 고딕" w:cs="맑은 고딕"/>
          <w:sz w:val="20"/>
          <w:szCs w:val="20"/>
        </w:rPr>
        <w:t>배터리 SOC는 시정수가 시간 단위로 소신호 대역(0.1–100 Hz) 밖이며, 포함 시 원점 근처 고유값이 생겨 행렬이 stiff해지므로 제외하였다. DC 링크 전압 제어는 ESS 컨버터가 담당하고 PV 부스트는 MPPT를 전담하는 구성을 가정하였다.</w:t>
      </w:r>
    </w:p>
    <w:p>
      <w:pPr>
        <w:pStyle w:val="Heading2"/>
        <w:spacing w:after="130" w:before="260"/>
      </w:pPr>
      <w:r>
        <w:rPr>
          <w:rFonts w:ascii="맑은 고딕" w:eastAsia="맑은 고딕" w:hAnsi="맑은 고딕" w:cs="맑은 고딕"/>
          <w:b/>
          <w:bCs/>
          <w:color w:val="1A1A1A"/>
          <w:sz w:val="24"/>
          <w:szCs w:val="24"/>
        </w:rPr>
        <w:t>2.2 v0(21차) 대비 변경 사항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600"/>
        <w:gridCol w:w="3660"/>
      </w:tblGrid>
      <w:tr>
        <w:trPr>
          <w:tblHeader/>
        </w:trPr>
        <w:tc>
          <w:tcPr>
            <w:tcW w:w="210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항목</w:t>
            </w:r>
          </w:p>
        </w:tc>
        <w:tc>
          <w:tcPr>
            <w:tcW w:w="360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v0 (21차)</w:t>
            </w:r>
          </w:p>
        </w:tc>
        <w:tc>
          <w:tcPr>
            <w:tcW w:w="366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v1 (22차)</w:t>
            </w:r>
          </w:p>
        </w:tc>
      </w:tr>
      <w:tr>
        <w:tc>
          <w:tcPr>
            <w:tcW w:w="2100" w:type="dxa"/>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상태변수</w:t>
            </w:r>
          </w:p>
        </w:tc>
        <w:tc>
          <w:tcPr>
            <w:tcW w:w="3600" w:type="dxa"/>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21 (숫자를 먼저 확정)</w:t>
            </w:r>
          </w:p>
        </w:tc>
        <w:tc>
          <w:tcPr>
            <w:tcW w:w="3660" w:type="dxa"/>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22 (물리에서 유도)</w:t>
            </w:r>
          </w:p>
        </w:tc>
      </w:tr>
      <w:tr>
        <w:tc>
          <w:tcPr>
            <w:tcW w:w="2100" w:type="dxa"/>
            <w:shd w:val="clear" w:color="auto" w:fill="F2F4F6"/>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야코비안 유도</w:t>
            </w:r>
          </w:p>
        </w:tc>
        <w:tc>
          <w:tcPr>
            <w:tcW w:w="3600" w:type="dxa"/>
            <w:shd w:val="clear" w:color="auto" w:fill="F2F4F6"/>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행렬 원소를 직접 기입</w:t>
            </w:r>
          </w:p>
        </w:tc>
        <w:tc>
          <w:tcPr>
            <w:tcW w:w="3660" w:type="dxa"/>
            <w:shd w:val="clear" w:color="auto" w:fill="F2F4F6"/>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SymPy jacobian( )</w:t>
            </w:r>
          </w:p>
        </w:tc>
      </w:tr>
      <w:tr>
        <w:tc>
          <w:tcPr>
            <w:tcW w:w="2100" w:type="dxa"/>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전력각 δ</w:t>
            </w:r>
          </w:p>
        </w:tc>
        <w:tc>
          <w:tcPr>
            <w:tcW w:w="3600" w:type="dxa"/>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상태변수 아님</w:t>
            </w:r>
          </w:p>
        </w:tc>
        <w:tc>
          <w:tcPr>
            <w:tcW w:w="3660" w:type="dxa"/>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포함 — 동기화 루프 폐합</w:t>
            </w:r>
          </w:p>
        </w:tc>
      </w:tr>
      <w:tr>
        <w:tc>
          <w:tcPr>
            <w:tcW w:w="2100" w:type="dxa"/>
            <w:shd w:val="clear" w:color="auto" w:fill="F2F4F6"/>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DC-AC 커플링</w:t>
            </w:r>
          </w:p>
        </w:tc>
        <w:tc>
          <w:tcPr>
            <w:tcW w:w="3600" w:type="dxa"/>
            <w:shd w:val="clear" w:color="auto" w:fill="F2F4F6"/>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단방향 스칼라 1개</w:t>
            </w:r>
          </w:p>
        </w:tc>
        <w:tc>
          <w:tcPr>
            <w:tcW w:w="3660" w:type="dxa"/>
            <w:shd w:val="clear" w:color="auto" w:fill="F2F4F6"/>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양방향 (DC→AC 2, AC→DC 4)</w:t>
            </w:r>
          </w:p>
        </w:tc>
      </w:tr>
      <w:tr>
        <w:tc>
          <w:tcPr>
            <w:tcW w:w="2100" w:type="dxa"/>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동작점</w:t>
            </w:r>
          </w:p>
        </w:tc>
        <w:tc>
          <w:tcPr>
            <w:tcW w:w="3600" w:type="dxa"/>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Id0 = 0.9 고정</w:t>
            </w:r>
          </w:p>
        </w:tc>
        <w:tc>
          <w:tcPr>
            <w:tcW w:w="3660" w:type="dxa"/>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SCR별 fsolve 해</w:t>
            </w:r>
          </w:p>
        </w:tc>
      </w:tr>
      <w:tr>
        <w:tc>
          <w:tcPr>
            <w:tcW w:w="2100" w:type="dxa"/>
            <w:shd w:val="clear" w:color="auto" w:fill="F2F4F6"/>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검증</w:t>
            </w:r>
          </w:p>
        </w:tc>
        <w:tc>
          <w:tcPr>
            <w:tcW w:w="3600" w:type="dxa"/>
            <w:shd w:val="clear" w:color="auto" w:fill="F2F4F6"/>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항등식 (항상 통과)</w:t>
            </w:r>
          </w:p>
        </w:tc>
        <w:tc>
          <w:tcPr>
            <w:tcW w:w="3660" w:type="dxa"/>
            <w:shd w:val="clear" w:color="auto" w:fill="F2F4F6"/>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유한차분 대조</w:t>
            </w:r>
          </w:p>
        </w:tc>
      </w:tr>
    </w:tbl>
    <w:p>
      <w:pPr>
        <w:pStyle w:val="Heading1"/>
        <w:spacing w:after="130" w:before="260"/>
      </w:pPr>
      <w:r>
        <w:rPr>
          <w:rFonts w:ascii="맑은 고딕" w:eastAsia="맑은 고딕" w:hAnsi="맑은 고딕" w:cs="맑은 고딕"/>
          <w:b/>
          <w:bCs/>
          <w:color w:val="1A1A1A"/>
          <w:sz w:val="28"/>
          <w:szCs w:val="28"/>
        </w:rPr>
        <w:t>3. 검증 결과</w:t>
      </w:r>
    </w:p>
    <w:p>
      <w:pPr>
        <w:spacing w:after="120" w:before="0"/>
      </w:pPr>
      <w:r>
        <w:rPr>
          <w:rFonts w:ascii="맑은 고딕" w:eastAsia="맑은 고딕" w:hAnsi="맑은 고딕" w:cs="맑은 고딕"/>
          <w:sz w:val="20"/>
          <w:szCs w:val="20"/>
        </w:rPr>
        <w:t>X/R = 1.0, 기본 제어 파라미터 조건에서 SCR을 변화시키며 검증하였다.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2100"/>
        <w:gridCol w:w="1900"/>
        <w:gridCol w:w="2000"/>
        <w:gridCol w:w="1960"/>
      </w:tblGrid>
      <w:tr>
        <w:trPr>
          <w:tblHeader/>
        </w:trPr>
        <w:tc>
          <w:tcPr>
            <w:tcW w:w="140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SCR</w:t>
            </w:r>
          </w:p>
        </w:tc>
        <w:tc>
          <w:tcPr>
            <w:tcW w:w="210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심볼릭 vs 유한차분</w:t>
            </w:r>
          </w:p>
        </w:tc>
        <w:tc>
          <w:tcPr>
            <w:tcW w:w="190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δ (°)</w:t>
            </w:r>
          </w:p>
        </w:tc>
        <w:tc>
          <w:tcPr>
            <w:tcW w:w="200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동기화 모드 λ</w:t>
            </w:r>
          </w:p>
        </w:tc>
        <w:tc>
          <w:tcPr>
            <w:tcW w:w="196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커플링 효과</w:t>
            </w:r>
          </w:p>
        </w:tc>
      </w:tr>
      <w:tr>
        <w:tc>
          <w:tcPr>
            <w:tcW w:w="14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3.0</w:t>
            </w:r>
          </w:p>
        </w:tc>
        <w:tc>
          <w:tcPr>
            <w:tcW w:w="21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1.2e-09</w:t>
            </w:r>
          </w:p>
        </w:tc>
        <w:tc>
          <w:tcPr>
            <w:tcW w:w="19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22.42</w:t>
            </w:r>
          </w:p>
        </w:tc>
        <w:tc>
          <w:tcPr>
            <w:tcW w:w="20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-4.6445</w:t>
            </w:r>
          </w:p>
        </w:tc>
        <w:tc>
          <w:tcPr>
            <w:tcW w:w="196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5.61e+01</w:t>
            </w:r>
          </w:p>
        </w:tc>
      </w:tr>
      <w:tr>
        <w:tc>
          <w:tcPr>
            <w:tcW w:w="14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2.0</w:t>
            </w:r>
          </w:p>
        </w:tc>
        <w:tc>
          <w:tcPr>
            <w:tcW w:w="21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1.2e-09</w:t>
            </w:r>
          </w:p>
        </w:tc>
        <w:tc>
          <w:tcPr>
            <w:tcW w:w="19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32.58</w:t>
            </w:r>
          </w:p>
        </w:tc>
        <w:tc>
          <w:tcPr>
            <w:tcW w:w="20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-2.9653</w:t>
            </w:r>
          </w:p>
        </w:tc>
        <w:tc>
          <w:tcPr>
            <w:tcW w:w="196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5.90e+01</w:t>
            </w:r>
          </w:p>
        </w:tc>
      </w:tr>
      <w:tr>
        <w:tc>
          <w:tcPr>
            <w:tcW w:w="14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1.5</w:t>
            </w:r>
          </w:p>
        </w:tc>
        <w:tc>
          <w:tcPr>
            <w:tcW w:w="21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1.2e-09</w:t>
            </w:r>
          </w:p>
        </w:tc>
        <w:tc>
          <w:tcPr>
            <w:tcW w:w="19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42.42</w:t>
            </w:r>
          </w:p>
        </w:tc>
        <w:tc>
          <w:tcPr>
            <w:tcW w:w="20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-2.1637</w:t>
            </w:r>
          </w:p>
        </w:tc>
        <w:tc>
          <w:tcPr>
            <w:tcW w:w="196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6.23e+01</w:t>
            </w:r>
          </w:p>
        </w:tc>
      </w:tr>
      <w:tr>
        <w:tc>
          <w:tcPr>
            <w:tcW w:w="14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1.0</w:t>
            </w:r>
          </w:p>
        </w:tc>
        <w:tc>
          <w:tcPr>
            <w:tcW w:w="21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1.2e-09</w:t>
            </w:r>
          </w:p>
        </w:tc>
        <w:tc>
          <w:tcPr>
            <w:tcW w:w="19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62.34</w:t>
            </w:r>
          </w:p>
        </w:tc>
        <w:tc>
          <w:tcPr>
            <w:tcW w:w="20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-1.2965</w:t>
            </w:r>
          </w:p>
        </w:tc>
        <w:tc>
          <w:tcPr>
            <w:tcW w:w="196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7.09e+01</w:t>
            </w:r>
          </w:p>
        </w:tc>
      </w:tr>
    </w:tbl>
    <w:p>
      <w:pPr>
        <w:spacing w:after="180"/>
      </w:pPr>
    </w:p>
    <w:p>
      <w:pPr>
        <w:spacing w:after="120" w:before="0"/>
      </w:pPr>
      <w:r>
        <w:rPr>
          <w:rFonts w:ascii="맑은 고딕" w:eastAsia="맑은 고딕" w:hAnsi="맑은 고딕" w:cs="맑은 고딕"/>
          <w:sz w:val="20"/>
          <w:szCs w:val="20"/>
        </w:rPr>
        <w:t>심볼릭 야코비안과 유한차분 야코비안이 전 원소에서 1.2×10⁻⁹까지 일치하여, 22×22 행렬 전체의 정확성이 확인되었다. Windows/MINGW64 환경에서 소수점까지 재현되었다.</w:t>
      </w:r>
    </w:p>
    <w:p>
      <w:pPr>
        <w:pStyle w:val="Heading1"/>
        <w:spacing w:after="130" w:before="260"/>
      </w:pPr>
      <w:r>
        <w:rPr>
          <w:rFonts w:ascii="맑은 고딕" w:eastAsia="맑은 고딕" w:hAnsi="맑은 고딕" w:cs="맑은 고딕"/>
          <w:b/>
          <w:bCs/>
          <w:color w:val="1A1A1A"/>
          <w:sz w:val="28"/>
          <w:szCs w:val="28"/>
        </w:rPr>
        <w:t>4. 핵심 발견</w:t>
      </w:r>
    </w:p>
    <w:p>
      <w:pPr>
        <w:pStyle w:val="Heading2"/>
        <w:spacing w:after="130" w:before="260"/>
      </w:pPr>
      <w:r>
        <w:rPr>
          <w:rFonts w:ascii="맑은 고딕" w:eastAsia="맑은 고딕" w:hAnsi="맑은 고딕" w:cs="맑은 고딕"/>
          <w:b/>
          <w:bCs/>
          <w:color w:val="1A1A1A"/>
          <w:sz w:val="24"/>
          <w:szCs w:val="24"/>
        </w:rPr>
        <w:t>4.1 양방향 커플링의 필요성</w:t>
      </w:r>
    </w:p>
    <w:p>
      <w:pPr>
        <w:spacing w:after="120" w:before="0"/>
      </w:pPr>
      <w:r>
        <w:rPr>
          <w:rFonts w:ascii="맑은 고딕" w:eastAsia="맑은 고딕" w:hAnsi="맑은 고딕" w:cs="맑은 고딕"/>
          <w:sz w:val="20"/>
          <w:szCs w:val="20"/>
        </w:rPr>
        <w:t>v0에서는 DC→AC 커플링만 좌하단 블록에 배치하고 AC→DC 경로를 0으로 두었다. 이 경우 시스템 행렬이 블록삼각이 되어 다음이 성립한다.</w:t>
      </w:r>
    </w:p>
    <w:p>
      <w:pPr>
        <w:jc w:val="center"/>
        <w:spacing w:after="140" w:before="60"/>
      </w:pPr>
      <w:r>
        <w:rPr>
          <w:rFonts w:ascii="맑은 고딕" w:eastAsia="맑은 고딕" w:hAnsi="맑은 고딕" w:cs="맑은 고딕"/>
          <w:i/>
          <w:iCs/>
          <w:sz w:val="20"/>
          <w:szCs w:val="20"/>
        </w:rPr>
        <w:t>det(A − λI) = det(A₁₁ − λI) · det(A₂₂ − λI)</w:t>
      </w:r>
    </w:p>
    <w:p>
      <w:pPr>
        <w:spacing w:after="120" w:before="0"/>
      </w:pPr>
      <w:r>
        <w:rPr>
          <w:rFonts w:ascii="맑은 고딕" w:eastAsia="맑은 고딕" w:hAnsi="맑은 고딕" w:cs="맑은 고딕"/>
          <w:sz w:val="20"/>
          <w:szCs w:val="20"/>
        </w:rPr>
        <w:t>즉 고유값은 두 대각 블록 고유값의 합집합이며, 비어 있지 않은 쪽 블록에 무엇을 넣든 고유값은 변하지 않는다. 실제로 커플링 항의 유무에 따른 고유값 차이가 정확히 0이었으며, 21차 모델의 결과는 13차 AC 전용 모델과 완전히 동일하였다.</w:t>
      </w:r>
    </w:p>
    <w:p>
      <w:pPr>
        <w:spacing w:after="120" w:before="0"/>
      </w:pPr>
      <w:r>
        <w:rPr>
          <w:rFonts w:ascii="맑은 고딕" w:eastAsia="맑은 고딕" w:hAnsi="맑은 고딕" w:cs="맑은 고딕"/>
          <w:sz w:val="20"/>
          <w:szCs w:val="20"/>
        </w:rPr>
        <w:t>인버터는 DC 버스에서 전력을 끌어가므로 AC측 전력 변동이 DC 버스 전압에 반드시 되먹임된다. 전력 보존식으로부터 인버터 소비전류를 유도하여 우상단 블록을 채운 결과, 커플링 제거 시 고유값이 최대 59만큼 이동함을 확인하였다. 이는 22차 모델이 12차 AC 전용 모델로 환원되지 않음을 보이는 정량적 근거이다.</w:t>
      </w:r>
    </w:p>
    <w:p>
      <w:pPr>
        <w:ind w:left="200"/>
        <w:pBdr>
          <w:left w:val="single" w:sz="18" w:space="10" w:color="B03A2E"/>
        </w:pBdr>
        <w:spacing w:after="160" w:before="120"/>
      </w:pPr>
      <w:r>
        <w:rPr>
          <w:rFonts w:ascii="맑은 고딕" w:eastAsia="맑은 고딕" w:hAnsi="맑은 고딕" w:cs="맑은 고딕"/>
          <w:b/>
          <w:bCs/>
          <w:color w:val="B03A2E"/>
          <w:sz w:val="20"/>
          <w:szCs w:val="20"/>
        </w:rPr>
        <w:t xml:space="preserve">주의  </w:t>
      </w:r>
      <w:r>
        <w:t>이 결함은 오류를 발생시키지 않고 그럴듯한 수치를 산출하며 자체 검증도 통과한다. 결과를 조용히 무효화하는 유형이므로, 매 실행마다 커플링 효과를 감시하는 절차를 파이프라인에 상시 포함하였다.</w:t>
      </w:r>
    </w:p>
    <w:p>
      <w:pPr>
        <w:pStyle w:val="Heading2"/>
        <w:spacing w:after="130" w:before="260"/>
      </w:pPr>
      <w:r>
        <w:rPr>
          <w:rFonts w:ascii="맑은 고딕" w:eastAsia="맑은 고딕" w:hAnsi="맑은 고딕" w:cs="맑은 고딕"/>
          <w:b/>
          <w:bCs/>
          <w:color w:val="1A1A1A"/>
          <w:sz w:val="24"/>
          <w:szCs w:val="24"/>
        </w:rPr>
        <w:t>4.2 동기화 모드의 식별</w:t>
      </w:r>
    </w:p>
    <w:p>
      <w:pPr>
        <w:spacing w:after="120" w:before="0"/>
      </w:pPr>
      <w:r>
        <w:rPr>
          <w:rFonts w:ascii="맑은 고딕" w:eastAsia="맑은 고딕" w:hAnsi="맑은 고딕" w:cs="맑은 고딕"/>
          <w:sz w:val="20"/>
          <w:szCs w:val="20"/>
        </w:rPr>
        <w:t>당초 178 Hz LCL 공진이 지배 모드일 것으로 보았으나, 참여계수 분석 결과 임계 모드는 전력각 δ가 지배하는 동기화 모드였다. 다만 Dp/J = 40으로 과감쇠되어 진동이 아닌 실수극으로 분리되어 있었다.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2000"/>
        <w:gridCol w:w="2000"/>
        <w:gridCol w:w="1980"/>
        <w:gridCol w:w="1980"/>
      </w:tblGrid>
      <w:tr>
        <w:trPr>
          <w:tblHeader/>
        </w:trPr>
        <w:tc>
          <w:tcPr>
            <w:tcW w:w="140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SCR</w:t>
            </w:r>
          </w:p>
        </w:tc>
        <w:tc>
          <w:tcPr>
            <w:tcW w:w="200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δ (°)</w:t>
            </w:r>
          </w:p>
        </w:tc>
        <w:tc>
          <w:tcPr>
            <w:tcW w:w="200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cos δ · SCR</w:t>
            </w:r>
          </w:p>
        </w:tc>
        <w:tc>
          <w:tcPr>
            <w:tcW w:w="198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동기화 모드 λ</w:t>
            </w:r>
          </w:p>
        </w:tc>
        <w:tc>
          <w:tcPr>
            <w:tcW w:w="198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δ·Δω 참여도</w:t>
            </w:r>
          </w:p>
        </w:tc>
      </w:tr>
      <w:tr>
        <w:tc>
          <w:tcPr>
            <w:tcW w:w="14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3.0</w:t>
            </w:r>
          </w:p>
        </w:tc>
        <w:tc>
          <w:tcPr>
            <w:tcW w:w="20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22.42</w:t>
            </w:r>
          </w:p>
        </w:tc>
        <w:tc>
          <w:tcPr>
            <w:tcW w:w="20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2.7733</w:t>
            </w:r>
          </w:p>
        </w:tc>
        <w:tc>
          <w:tcPr>
            <w:tcW w:w="198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-4.6445</w:t>
            </w:r>
          </w:p>
        </w:tc>
        <w:tc>
          <w:tcPr>
            <w:tcW w:w="198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0.924</w:t>
            </w:r>
          </w:p>
        </w:tc>
      </w:tr>
      <w:tr>
        <w:tc>
          <w:tcPr>
            <w:tcW w:w="14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2.0</w:t>
            </w:r>
          </w:p>
        </w:tc>
        <w:tc>
          <w:tcPr>
            <w:tcW w:w="20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32.58</w:t>
            </w:r>
          </w:p>
        </w:tc>
        <w:tc>
          <w:tcPr>
            <w:tcW w:w="20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1.6853</w:t>
            </w:r>
          </w:p>
        </w:tc>
        <w:tc>
          <w:tcPr>
            <w:tcW w:w="198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-2.9653</w:t>
            </w:r>
          </w:p>
        </w:tc>
        <w:tc>
          <w:tcPr>
            <w:tcW w:w="198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0.951</w:t>
            </w:r>
          </w:p>
        </w:tc>
      </w:tr>
      <w:tr>
        <w:tc>
          <w:tcPr>
            <w:tcW w:w="14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1.5</w:t>
            </w:r>
          </w:p>
        </w:tc>
        <w:tc>
          <w:tcPr>
            <w:tcW w:w="20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42.42</w:t>
            </w:r>
          </w:p>
        </w:tc>
        <w:tc>
          <w:tcPr>
            <w:tcW w:w="20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1.1073</w:t>
            </w:r>
          </w:p>
        </w:tc>
        <w:tc>
          <w:tcPr>
            <w:tcW w:w="198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-2.1637</w:t>
            </w:r>
          </w:p>
        </w:tc>
        <w:tc>
          <w:tcPr>
            <w:tcW w:w="198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0.965</w:t>
            </w:r>
          </w:p>
        </w:tc>
      </w:tr>
      <w:tr>
        <w:tc>
          <w:tcPr>
            <w:tcW w:w="14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1.0</w:t>
            </w:r>
          </w:p>
        </w:tc>
        <w:tc>
          <w:tcPr>
            <w:tcW w:w="20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62.34</w:t>
            </w:r>
          </w:p>
        </w:tc>
        <w:tc>
          <w:tcPr>
            <w:tcW w:w="20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0.4642</w:t>
            </w:r>
          </w:p>
        </w:tc>
        <w:tc>
          <w:tcPr>
            <w:tcW w:w="198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-1.2965</w:t>
            </w:r>
          </w:p>
        </w:tc>
        <w:tc>
          <w:tcPr>
            <w:tcW w:w="198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0.978</w:t>
            </w:r>
          </w:p>
        </w:tc>
      </w:tr>
    </w:tbl>
    <w:p>
      <w:pPr>
        <w:spacing w:after="180"/>
      </w:pPr>
    </w:p>
    <w:p>
      <w:pPr>
        <w:spacing w:after="120" w:before="0"/>
      </w:pPr>
      <w:r>
        <w:rPr>
          <w:rFonts w:ascii="맑은 고딕" w:eastAsia="맑은 고딕" w:hAnsi="맑은 고딕" w:cs="맑은 고딕"/>
          <w:sz w:val="20"/>
          <w:szCs w:val="20"/>
        </w:rPr>
        <w:t>SCR이 낮아질수록 극이 원점으로 단조 접근하며, δ 참여도는 0.92에서 0.98로 오히려 순수해진다. 약계통에서 GFM 인버터가 불안정해지는 경로가 동기화 모드임을 정량적으로 보이는 결과이며, SCR* 경계의 물리적 정의가 여기서 도출된다.</w:t>
      </w:r>
    </w:p>
    <w:p>
      <w:pPr>
        <w:spacing w:after="120" w:before="0"/>
      </w:pPr>
      <w:r>
        <w:rPr>
          <w:rFonts w:ascii="맑은 고딕" w:eastAsia="맑은 고딕" w:hAnsi="맑은 고딕" w:cs="맑은 고딕"/>
          <w:sz w:val="20"/>
          <w:szCs w:val="20"/>
        </w:rPr>
        <w:t>과감쇠 영역에서 느린 근은 λ ≈ −K/Dp이므로 동기화계수 K에 비례해야 한다. K는 cos δ뿐 아니라 계통 리액턴스에도 의존하므로 K ∝ cos δ · SCR로 평가하였다. 관측된 극 이동은 3.58배, K 변화는 5.97배로 같은 방향·같은 자릿수이며, 편차는 전력 필터와 계통 동역학이 함께 작용하는 전차수 모델에서 예상되는 범위이다.</w:t>
      </w:r>
    </w:p>
    <w:p>
      <w:pPr>
        <w:ind w:left="200"/>
        <w:pBdr>
          <w:left w:val="single" w:sz="18" w:space="10" w:color="2F4858"/>
        </w:pBdr>
        <w:spacing w:after="160" w:before="120"/>
      </w:pPr>
      <w:r>
        <w:rPr>
          <w:rFonts w:ascii="맑은 고딕" w:eastAsia="맑은 고딕" w:hAnsi="맑은 고딕" w:cs="맑은 고딕"/>
          <w:b/>
          <w:bCs/>
          <w:color w:val="2F4858"/>
          <w:sz w:val="20"/>
          <w:szCs w:val="20"/>
        </w:rPr>
        <w:t xml:space="preserve">참고  </w:t>
      </w:r>
      <w:r>
        <w:t>전차수 모델에서는 A[Δω, δ] = 0이 정상이다. 계통 동역학과 전력 필터가 상태변수이므로 δ는 스윙 방정식에 직접 들어가지 않고 δ → i_od → Pf → Δω 경로로 되먹임된다. K = VE·cos δ/X 형태의 직접 항은 계통을 대수식으로 취급하는 고전 축소 모델에서만 나타난다.</w:t>
      </w:r>
    </w:p>
    <w:p>
      <w:pPr>
        <w:pStyle w:val="Heading2"/>
        <w:spacing w:after="130" w:before="260"/>
      </w:pPr>
      <w:r>
        <w:rPr>
          <w:rFonts w:ascii="맑은 고딕" w:eastAsia="맑은 고딕" w:hAnsi="맑은 고딕" w:cs="맑은 고딕"/>
          <w:b/>
          <w:bCs/>
          <w:color w:val="1A1A1A"/>
          <w:sz w:val="24"/>
          <w:szCs w:val="24"/>
        </w:rPr>
        <w:t>4.3 소신호 모델의 유효 범위</w:t>
      </w:r>
    </w:p>
    <w:p>
      <w:pPr>
        <w:spacing w:after="120" w:before="0"/>
      </w:pPr>
      <w:r>
        <w:rPr>
          <w:rFonts w:ascii="맑은 고딕" w:eastAsia="맑은 고딕" w:hAnsi="맑은 고딕" w:cs="맑은 고딕"/>
          <w:sz w:val="20"/>
          <w:szCs w:val="20"/>
        </w:rPr>
        <w:t>계통 전압 Vg에 계단 섭동을 인가하고 비선형 궤적과 선형 예측 궤적을 대조하여 선형화 유효 범위를 산출하였다. 적분 구간은 동작점별 정착시간(5τ)의 1.5배로 자동 설정하였다. 고정 구간을 사용하면 정착 진행도가 SCR마다 달라져 비교가 성립하지 않으며, 약계통일수록 궤적이 덜 진행되어 오차가 작게 나타나는 역전이 발생한다.</w:t>
      </w:r>
    </w:p>
    <w:p>
      <w:pPr>
        <w:spacing w:after="120" w:before="0"/>
      </w:pPr>
      <w:r>
        <w:rPr>
          <w:rFonts w:ascii="맑은 고딕" w:eastAsia="맑은 고딕" w:hAnsi="맑은 고딕" w:cs="맑은 고딕"/>
          <w:sz w:val="20"/>
          <w:szCs w:val="20"/>
        </w:rPr>
        <w:t>궤적 형상 오차와 별개로 정상상태 이득 오차가 존재한다. 선형 모델은 전력각의 최종 변화량을 약 50% 과대예측한다.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900"/>
        <w:gridCol w:w="2000"/>
        <w:gridCol w:w="1980"/>
        <w:gridCol w:w="1980"/>
      </w:tblGrid>
      <w:tr>
        <w:trPr>
          <w:tblHeader/>
        </w:trPr>
        <w:tc>
          <w:tcPr>
            <w:tcW w:w="150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SCR</w:t>
            </w:r>
          </w:p>
        </w:tc>
        <w:tc>
          <w:tcPr>
            <w:tcW w:w="190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적분 구간 (s)</w:t>
            </w:r>
          </w:p>
        </w:tc>
        <w:tc>
          <w:tcPr>
            <w:tcW w:w="200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선형 예측 Δδ</w:t>
            </w:r>
          </w:p>
        </w:tc>
        <w:tc>
          <w:tcPr>
            <w:tcW w:w="198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비선형 실제 Δδ</w:t>
            </w:r>
          </w:p>
        </w:tc>
        <w:tc>
          <w:tcPr>
            <w:tcW w:w="198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DC 이득 오차</w:t>
            </w:r>
          </w:p>
        </w:tc>
      </w:tr>
      <w:tr>
        <w:tc>
          <w:tcPr>
            <w:tcW w:w="15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1.7</w:t>
            </w:r>
          </w:p>
        </w:tc>
        <w:tc>
          <w:tcPr>
            <w:tcW w:w="19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3.02</w:t>
            </w:r>
          </w:p>
        </w:tc>
        <w:tc>
          <w:tcPr>
            <w:tcW w:w="20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w:t>
            </w:r>
          </w:p>
        </w:tc>
        <w:tc>
          <w:tcPr>
            <w:tcW w:w="198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w:t>
            </w:r>
          </w:p>
        </w:tc>
        <w:tc>
          <w:tcPr>
            <w:tcW w:w="198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52.7%</w:t>
            </w:r>
          </w:p>
        </w:tc>
      </w:tr>
      <w:tr>
        <w:tc>
          <w:tcPr>
            <w:tcW w:w="15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1.6</w:t>
            </w:r>
          </w:p>
        </w:tc>
        <w:tc>
          <w:tcPr>
            <w:tcW w:w="19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3.23</w:t>
            </w:r>
          </w:p>
        </w:tc>
        <w:tc>
          <w:tcPr>
            <w:tcW w:w="20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w:t>
            </w:r>
          </w:p>
        </w:tc>
        <w:tc>
          <w:tcPr>
            <w:tcW w:w="198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w:t>
            </w:r>
          </w:p>
        </w:tc>
        <w:tc>
          <w:tcPr>
            <w:tcW w:w="198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59.1%</w:t>
            </w:r>
          </w:p>
        </w:tc>
      </w:tr>
      <w:tr>
        <w:tc>
          <w:tcPr>
            <w:tcW w:w="15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1.5</w:t>
            </w:r>
          </w:p>
        </w:tc>
        <w:tc>
          <w:tcPr>
            <w:tcW w:w="19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3.47</w:t>
            </w:r>
          </w:p>
        </w:tc>
        <w:tc>
          <w:tcPr>
            <w:tcW w:w="20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w:t>
            </w:r>
          </w:p>
        </w:tc>
        <w:tc>
          <w:tcPr>
            <w:tcW w:w="198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w:t>
            </w:r>
          </w:p>
        </w:tc>
        <w:tc>
          <w:tcPr>
            <w:tcW w:w="198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46.5%</w:t>
            </w:r>
          </w:p>
        </w:tc>
      </w:tr>
      <w:tr>
        <w:tc>
          <w:tcPr>
            <w:tcW w:w="15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1.4</w:t>
            </w:r>
          </w:p>
        </w:tc>
        <w:tc>
          <w:tcPr>
            <w:tcW w:w="19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3.75</w:t>
            </w:r>
          </w:p>
        </w:tc>
        <w:tc>
          <w:tcPr>
            <w:tcW w:w="200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w:t>
            </w:r>
          </w:p>
        </w:tc>
        <w:tc>
          <w:tcPr>
            <w:tcW w:w="198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w:t>
            </w:r>
          </w:p>
        </w:tc>
        <w:tc>
          <w:tcPr>
            <w:tcW w:w="1980" w:type="dxa"/>
            <w:shd w:val="clear" w:color="auto" w:fill="F2F4F6"/>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48.9%</w:t>
            </w:r>
          </w:p>
        </w:tc>
      </w:tr>
      <w:tr>
        <w:tc>
          <w:tcPr>
            <w:tcW w:w="15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1.3</w:t>
            </w:r>
          </w:p>
        </w:tc>
        <w:tc>
          <w:tcPr>
            <w:tcW w:w="19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4.09</w:t>
            </w:r>
          </w:p>
        </w:tc>
        <w:tc>
          <w:tcPr>
            <w:tcW w:w="200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-3.654°</w:t>
            </w:r>
          </w:p>
        </w:tc>
        <w:tc>
          <w:tcPr>
            <w:tcW w:w="198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-2.440°</w:t>
            </w:r>
          </w:p>
        </w:tc>
        <w:tc>
          <w:tcPr>
            <w:tcW w:w="1980" w:type="dxa"/>
            <w:tcMar>
              <w:top w:w="70" w:type="dxa"/>
              <w:left w:w="110" w:type="dxa"/>
              <w:bottom w:w="70" w:type="dxa"/>
              <w:right w:w="110" w:type="dxa"/>
            </w:tcMar>
          </w:tcPr>
          <w:p>
            <w:pPr>
              <w:jc w:val="center"/>
              <w:spacing w:after="0" w:before="0"/>
            </w:pPr>
            <w:r>
              <w:rPr>
                <w:rFonts w:ascii="맑은 고딕" w:eastAsia="맑은 고딕" w:hAnsi="맑은 고딕" w:cs="맑은 고딕"/>
                <w:color w:val="1A1A1A"/>
                <w:sz w:val="18"/>
                <w:szCs w:val="18"/>
              </w:rPr>
              <w:t>49.8%</w:t>
            </w:r>
          </w:p>
        </w:tc>
      </w:tr>
    </w:tbl>
    <w:p>
      <w:pPr>
        <w:spacing w:after="180"/>
      </w:pPr>
    </w:p>
    <w:p>
      <w:pPr>
        <w:spacing w:after="120" w:before="0"/>
      </w:pPr>
      <w:r>
        <w:rPr>
          <w:rFonts w:ascii="맑은 고딕" w:eastAsia="맑은 고딕" w:hAnsi="맑은 고딕" w:cs="맑은 고딕"/>
          <w:sz w:val="20"/>
          <w:szCs w:val="20"/>
        </w:rPr>
        <w:t>이는 결함이 아니라 선형화의 원리적 한계이다. 계통 전압이 cos δ, sin δ로 모델에 들어가므로 δ가 수 도(度) 움직이는 것만으로도 곡률의 영향이 나타나며, 접선 근사가 실제보다 멀리 예측한다.</w:t>
      </w:r>
    </w:p>
    <w:p>
      <w:pPr>
        <w:ind w:left="200"/>
        <w:pBdr>
          <w:left w:val="single" w:sz="18" w:space="10" w:color="2F4858"/>
        </w:pBdr>
        <w:spacing w:after="160" w:before="120"/>
      </w:pPr>
      <w:r>
        <w:rPr>
          <w:rFonts w:ascii="맑은 고딕" w:eastAsia="맑은 고딕" w:hAnsi="맑은 고딕" w:cs="맑은 고딕"/>
          <w:b/>
          <w:bCs/>
          <w:color w:val="2F4858"/>
          <w:sz w:val="20"/>
          <w:szCs w:val="20"/>
        </w:rPr>
        <w:t xml:space="preserve">결론  </w:t>
      </w:r>
      <w:r>
        <w:t>소신호 모델은 고유값과 안정도 경계 예측에는 유효하다. 이는 A 행렬의 성질이며 섭동 크기와 무관하기 때문이다. 그러나 대신호 과도의 최종 도달점 예측에는 사용할 수 없다. CHIL 시나리오 설계 시 섭동 크기를 유효 범위 내로 제한해야 하는 근거가 된다.</w:t>
      </w:r>
    </w:p>
    <w:p>
      <w:pPr>
        <w:pStyle w:val="Heading1"/>
        <w:spacing w:after="130" w:before="260"/>
      </w:pPr>
      <w:r>
        <w:rPr>
          <w:rFonts w:ascii="맑은 고딕" w:eastAsia="맑은 고딕" w:hAnsi="맑은 고딕" w:cs="맑은 고딕"/>
          <w:b/>
          <w:bCs/>
          <w:color w:val="1A1A1A"/>
          <w:sz w:val="28"/>
          <w:szCs w:val="28"/>
        </w:rPr>
        <w:t>5. 지표 설계에서 얻은 교훈</w:t>
      </w:r>
    </w:p>
    <w:p>
      <w:pPr>
        <w:spacing w:after="120" w:before="0"/>
      </w:pPr>
      <w:r>
        <w:rPr>
          <w:rFonts w:ascii="맑은 고딕" w:eastAsia="맑은 고딕" w:hAnsi="맑은 고딕" w:cs="맑은 고딕"/>
          <w:sz w:val="20"/>
          <w:szCs w:val="20"/>
        </w:rPr>
        <w:t>선형화 유효성 지표를 확정하기까지 세 차례의 시행착오를 거쳤다. 22차 모델은 상태 간 물리 단위와 동작점 크기가 수십 배 차이나므로 단일 정규화로는 해결되지 않았다.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400"/>
        <w:gridCol w:w="3560"/>
      </w:tblGrid>
      <w:tr>
        <w:trPr>
          <w:tblHeader/>
        </w:trPr>
        <w:tc>
          <w:tcPr>
            <w:tcW w:w="240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정규화 방식</w:t>
            </w:r>
          </w:p>
        </w:tc>
        <w:tc>
          <w:tcPr>
            <w:tcW w:w="340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결과</w:t>
            </w:r>
          </w:p>
        </w:tc>
        <w:tc>
          <w:tcPr>
            <w:tcW w:w="3560" w:type="dxa"/>
            <w:shd w:val="clear" w:color="auto" w:fill="2F4858"/>
            <w:tcMar>
              <w:top w:w="70" w:type="dxa"/>
              <w:left w:w="110" w:type="dxa"/>
              <w:bottom w:w="70" w:type="dxa"/>
              <w:right w:w="110" w:type="dxa"/>
            </w:tcMar>
          </w:tcPr>
          <w:p>
            <w:pPr>
              <w:jc w:val="center"/>
              <w:spacing w:after="0" w:before="0"/>
            </w:pPr>
            <w:r>
              <w:rPr>
                <w:rFonts w:ascii="맑은 고딕" w:eastAsia="맑은 고딕" w:hAnsi="맑은 고딕" w:cs="맑은 고딕"/>
                <w:b/>
                <w:bCs/>
                <w:color w:val="FFFFFF"/>
                <w:sz w:val="18"/>
                <w:szCs w:val="18"/>
              </w:rPr>
              <w:t>원인</w:t>
            </w:r>
          </w:p>
        </w:tc>
      </w:tr>
      <w:tr>
        <w:tc>
          <w:tcPr>
            <w:tcW w:w="2400" w:type="dxa"/>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상태별 자기 진폭</w:t>
            </w:r>
          </w:p>
        </w:tc>
        <w:tc>
          <w:tcPr>
            <w:tcW w:w="3400" w:type="dxa"/>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SCR 1.4에서 가짜 골짜기</w:t>
            </w:r>
          </w:p>
        </w:tc>
        <w:tc>
          <w:tcPr>
            <w:tcW w:w="3560" w:type="dxa"/>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i_oq 진폭 극소 시 분모 소멸</w:t>
            </w:r>
          </w:p>
        </w:tc>
      </w:tr>
      <w:tr>
        <w:tc>
          <w:tcPr>
            <w:tcW w:w="2400" w:type="dxa"/>
            <w:shd w:val="clear" w:color="auto" w:fill="F2F4F6"/>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궤적 전체 최대값</w:t>
            </w:r>
          </w:p>
        </w:tc>
        <w:tc>
          <w:tcPr>
            <w:tcW w:w="3400" w:type="dxa"/>
            <w:shd w:val="clear" w:color="auto" w:fill="F2F4F6"/>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전 구간 통과 (과대 관대)</w:t>
            </w:r>
          </w:p>
        </w:tc>
        <w:tc>
          <w:tcPr>
            <w:tcW w:w="3560" w:type="dxa"/>
            <w:shd w:val="clear" w:color="auto" w:fill="F2F4F6"/>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동작점 0인 적분기가 척도 독점</w:t>
            </w:r>
          </w:p>
        </w:tc>
      </w:tr>
      <w:tr>
        <w:tc>
          <w:tcPr>
            <w:tcW w:w="2400" w:type="dxa"/>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노름 비</w:t>
            </w:r>
          </w:p>
        </w:tc>
        <w:tc>
          <w:tcPr>
            <w:tcW w:w="3400" w:type="dxa"/>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오차 희석</w:t>
            </w:r>
          </w:p>
        </w:tc>
        <w:tc>
          <w:tcPr>
            <w:tcW w:w="3560" w:type="dxa"/>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큰 nominal 상태에 묻힘</w:t>
            </w:r>
          </w:p>
        </w:tc>
      </w:tr>
      <w:tr>
        <w:tc>
          <w:tcPr>
            <w:tcW w:w="2400" w:type="dxa"/>
            <w:shd w:val="clear" w:color="auto" w:fill="F2F4F6"/>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응답 게이트 (채택)</w:t>
            </w:r>
          </w:p>
        </w:tc>
        <w:tc>
          <w:tcPr>
            <w:tcW w:w="3400" w:type="dxa"/>
            <w:shd w:val="clear" w:color="auto" w:fill="F2F4F6"/>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단조 증가, 판정 작동</w:t>
            </w:r>
          </w:p>
        </w:tc>
        <w:tc>
          <w:tcPr>
            <w:tcW w:w="3560" w:type="dxa"/>
            <w:shd w:val="clear" w:color="auto" w:fill="F2F4F6"/>
            <w:tcMar>
              <w:top w:w="70" w:type="dxa"/>
              <w:left w:w="110" w:type="dxa"/>
              <w:bottom w:w="70" w:type="dxa"/>
              <w:right w:w="110" w:type="dxa"/>
            </w:tcMar>
          </w:tcPr>
          <w:p>
            <w:pPr>
              <w:spacing w:after="0" w:before="0"/>
            </w:pPr>
            <w:r>
              <w:rPr>
                <w:rFonts w:ascii="맑은 고딕" w:eastAsia="맑은 고딕" w:hAnsi="맑은 고딕" w:cs="맑은 고딕"/>
                <w:color w:val="1A1A1A"/>
                <w:sz w:val="18"/>
                <w:szCs w:val="18"/>
              </w:rPr>
              <w:t>응답한 상태만 판정에 포함</w:t>
            </w:r>
          </w:p>
        </w:tc>
      </w:tr>
    </w:tbl>
    <w:p>
      <w:pPr>
        <w:spacing w:after="180"/>
      </w:pPr>
    </w:p>
    <w:p>
      <w:pPr>
        <w:spacing w:after="120" w:before="0"/>
      </w:pPr>
      <w:r>
        <w:rPr>
          <w:rFonts w:ascii="맑은 고딕" w:eastAsia="맑은 고딕" w:hAnsi="맑은 고딕" w:cs="맑은 고딕"/>
          <w:sz w:val="20"/>
          <w:szCs w:val="20"/>
        </w:rPr>
        <w:t>최종 채택한 지표는 궤적의 절대 크기로 각 상태를 무차원화한 뒤, 상대 변화율이 최대의 1%에 못 미치는 상태를 판정에서 제외한다. 물리적 의미는 응답이 있는 상태에 한해 선형 예측이 비선형 궤적을 얼마나 잘 따라가는가이다.</w:t>
      </w:r>
    </w:p>
    <w:p>
      <w:pPr>
        <w:pStyle w:val="Heading1"/>
        <w:spacing w:after="130" w:before="260"/>
      </w:pPr>
      <w:r>
        <w:rPr>
          <w:rFonts w:ascii="맑은 고딕" w:eastAsia="맑은 고딕" w:hAnsi="맑은 고딕" w:cs="맑은 고딕"/>
          <w:b/>
          <w:bCs/>
          <w:color w:val="1A1A1A"/>
          <w:sz w:val="28"/>
          <w:szCs w:val="28"/>
        </w:rPr>
        <w:t>6. 결론 및 후속 작업</w:t>
      </w:r>
    </w:p>
    <w:p>
      <w:pPr>
        <w:spacing w:after="120" w:before="0"/>
      </w:pPr>
      <w:r>
        <w:rPr>
          <w:rFonts w:ascii="맑은 고딕" w:eastAsia="맑은 고딕" w:hAnsi="맑은 고딕" w:cs="맑은 고딕"/>
          <w:sz w:val="20"/>
          <w:szCs w:val="20"/>
        </w:rPr>
        <w:t>Phase 2의 목표인 야코비안 유도와 검증을 완료하였다. 22×22 행렬 전체가 독립적인 방법으로 검증되었으며, 양방향 DC-AC 커플링이 고유값에 실질적으로 기여함을 정량적으로 확인하였다. 참여계수 분석으로 임계 모드가 δ 지배 동기화 모드임을 확정하여 후속 최적화의 목표를 명확히 하였다.</w:t>
      </w:r>
    </w:p>
    <w:p>
      <w:pPr>
        <w:spacing w:after="120" w:before="0"/>
      </w:pPr>
      <w:r>
        <w:rPr>
          <w:rFonts w:ascii="맑은 고딕" w:eastAsia="맑은 고딕" w:hAnsi="맑은 고딕" w:cs="맑은 고딕"/>
          <w:sz w:val="20"/>
          <w:szCs w:val="20"/>
        </w:rPr>
        <w:t>선형화 유효 임계값의 최종 확정은 미완이다. 지표의 특이점 문제는 해결하였으나, 섭동 격자를 세밀화하여 임계값을 확정하는 작업이 남아 있다.</w:t>
      </w:r>
    </w:p>
    <w:p>
      <w:pPr>
        <w:spacing w:after="120" w:before="0"/>
      </w:pPr>
      <w:r>
        <w:rPr>
          <w:rFonts w:ascii="맑은 고딕" w:eastAsia="맑은 고딕" w:hAnsi="맑은 고딕" w:cs="맑은 고딕"/>
          <w:sz w:val="20"/>
          <w:szCs w:val="20"/>
        </w:rPr>
        <w:t>후속 작업으로 다음이 예정되어 있다.</w:t>
      </w:r>
    </w:p>
    <w:p>
      <w:pPr>
        <w:ind w:left="320"/>
        <w:spacing w:after="120" w:before="0"/>
      </w:pPr>
      <w:r>
        <w:rPr>
          <w:rFonts w:ascii="맑은 고딕" w:eastAsia="맑은 고딕" w:hAnsi="맑은 고딕" w:cs="맑은 고딕"/>
          <w:sz w:val="20"/>
          <w:szCs w:val="20"/>
        </w:rPr>
        <w:t>첫째, PSO 목적함수 설계 시 안정도 지표를 재정의해야 한다. 현재 지표는 진동 모드만 평가하므로 실수극인 임계 모드를 포착하지 못하며, 이 상태로 최적화를 수행하면 LCL 공진만 개선되고 동기화 모드는 개선되지 않는다.</w:t>
      </w:r>
    </w:p>
    <w:p>
      <w:pPr>
        <w:ind w:left="320"/>
        <w:spacing w:after="120" w:before="0"/>
      </w:pPr>
      <w:r>
        <w:rPr>
          <w:rFonts w:ascii="맑은 고딕" w:eastAsia="맑은 고딕" w:hAnsi="맑은 고딕" w:cs="맑은 고딕"/>
          <w:sz w:val="20"/>
          <w:szCs w:val="20"/>
        </w:rPr>
        <w:t>둘째, ζ 임계값 0.64의 근거 조항을 특정해야 한다. 다만 임계 모드가 실수극인 경우 감쇠비가 1로 고정되므로, 정착시간 기반 지표의 병용을 검토할 필요가 있다.</w:t>
      </w:r>
    </w:p>
    <w:p>
      <w:pPr>
        <w:ind w:left="320"/>
        <w:spacing w:after="120" w:before="0"/>
      </w:pPr>
      <w:r>
        <w:rPr>
          <w:rFonts w:ascii="맑은 고딕" w:eastAsia="맑은 고딕" w:hAnsi="맑은 고딕" w:cs="맑은 고딕"/>
          <w:sz w:val="20"/>
          <w:szCs w:val="20"/>
        </w:rPr>
        <w:t>셋째, 오프라인 EMT 및 SIL 검증을 통해 평균화 모델의 타당성을 확인한다. 이는 실시간 시뮬레이터 접근 가능 여부와 무관하게 수행 가능하다.</w:t>
      </w:r>
    </w:p>
    <w:sectPr>
      <w:pgSz w:w="11906" w:h="16838"/>
      <w:pgMar w:top="1440" w:right="1440" w:bottom="1440" w:left="1440"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color w:val="1A1A1A"/>
        <w:sz w:val="20"/>
        <w:szCs w:val="20"/>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2" Type="http://schemas.openxmlformats.org/officeDocument/2006/relationships/image" Target="media/image1.png" /><Relationship Id="rId1" Type="http://schemas.openxmlformats.org/officeDocument/2006/relationships/image" Target="media/image2.jpeg"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22-state GFM 인버터 소신호 모델 구축 및 검증</dc:title>
  <dc:subject/>
  <dc:creator>조연호</dc:creator>
  <cp:keywords/>
  <dc:description/>
  <cp:lastModifiedBy>hyese</cp:lastModifiedBy>
  <cp:revision>1</cp:revision>
  <dcterms:modified xsi:type="dcterms:W3CDTF">2026-08-31T07:07:37Z</dcterms:modified>
  <cp:version>1200.0100.01</cp:version>
</cp:coreProperties>
</file>