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enable</w:t>
      </w:r>
      <w:r>
        <w:t xml:space="preserve"> </w:t>
      </w:r>
      <w:r>
        <w:t xml:space="preserve">inexpensive</w:t>
      </w:r>
      <w:r>
        <w:t xml:space="preserve"> </w:t>
      </w:r>
      <w:r>
        <w:t xml:space="preserve">reproducibility</w:t>
      </w:r>
      <w:r>
        <w:t xml:space="preserve"> </w:t>
      </w:r>
      <w:r>
        <w:t xml:space="preserve">for</w:t>
      </w:r>
      <w:r>
        <w:t xml:space="preserve"> </w:t>
      </w:r>
      <w:r>
        <w:t xml:space="preserve">computational</w:t>
      </w:r>
      <w:r>
        <w:t xml:space="preserve"> </w:t>
      </w:r>
      <w:r>
        <w:t xml:space="preserve">experiments</w:t>
      </w:r>
    </w:p>
    <w:p>
      <w:pPr>
        <w:pStyle w:val="Author"/>
      </w:pPr>
      <w:r>
        <w:t xml:space="preserve">Samuel</w:t>
      </w:r>
      <w:r>
        <w:t xml:space="preserve"> </w:t>
      </w:r>
      <w:r>
        <w:t xml:space="preserve">Grayson</w:t>
      </w:r>
    </w:p>
    <w:p>
      <w:pPr>
        <w:pStyle w:val="Date"/>
      </w:pPr>
      <w:r>
        <w:t xml:space="preserve">2024</w:t>
      </w:r>
      <w:r>
        <w:t xml:space="preserve"> </w:t>
      </w:r>
      <w:r>
        <w:t xml:space="preserve">Oct</w:t>
      </w:r>
      <w:r>
        <w:t xml:space="preserve"> </w:t>
      </w:r>
      <w:r>
        <w:t xml:space="preserve">03</w:t>
      </w:r>
    </w:p>
    <w:bookmarkStart w:id="23" w:name="problem"/>
    <w:p>
      <w:pPr>
        <w:pStyle w:val="Heading1"/>
      </w:pPr>
      <w:r>
        <w:rPr>
          <w:rStyle w:val="SectionNumber"/>
        </w:rPr>
        <w:t xml:space="preserve">1</w:t>
      </w:r>
      <w:r>
        <w:tab/>
      </w:r>
      <w:r>
        <w:t xml:space="preserve">Problem</w:t>
      </w:r>
    </w:p>
    <w:p>
      <w:pPr>
        <w:pStyle w:val="FirstParagraph"/>
      </w:pPr>
      <w:r>
        <w:t xml:space="preserve">Reproducibility of scientific experiments is important for three reasons:</w:t>
      </w:r>
    </w:p>
    <w:p>
      <w:pPr>
        <w:numPr>
          <w:ilvl w:val="0"/>
          <w:numId w:val="1001"/>
        </w:numPr>
      </w:pPr>
      <w:r>
        <w:t xml:space="preserve">The scientific community corrects false claims by scrutinizing each others’ experiments.</w:t>
      </w:r>
      <w:r>
        <w:t xml:space="preserve"> </w:t>
      </w:r>
      <w:r>
        <w:t xml:space="preserve">Scrutinizing an experiment often includes reproducing it.</w:t>
      </w:r>
      <w:r>
        <w:t xml:space="preserve"> </w:t>
      </w:r>
      <w:r>
        <w:t xml:space="preserve">Therefore, reproducible experiments may be thoroughly scrutinized.</w:t>
      </w:r>
    </w:p>
    <w:p>
      <w:pPr>
        <w:numPr>
          <w:ilvl w:val="0"/>
          <w:numId w:val="1001"/>
        </w:numPr>
      </w:pPr>
      <w:r>
        <w:t xml:space="preserve">Science works by building off of the work of others.</w:t>
      </w:r>
      <w:r>
        <w:t xml:space="preserve"> </w:t>
      </w:r>
      <w:r>
        <w:t xml:space="preserve">Often in extending another’s work, one must execute a modified version of their experiment.</w:t>
      </w:r>
      <w:r>
        <w:t xml:space="preserve"> </w:t>
      </w:r>
      <w:r>
        <w:t xml:space="preserve">If reproducing the same experiment is difficult, one would expect executing an extended version to be even more so.</w:t>
      </w:r>
      <w:r>
        <w:t xml:space="preserve"> </w:t>
      </w:r>
      <w:r>
        <w:t xml:space="preserve">Therefore, reproducible experiments may be easier to extend.</w:t>
      </w:r>
    </w:p>
    <w:p>
      <w:pPr>
        <w:numPr>
          <w:ilvl w:val="0"/>
          <w:numId w:val="1001"/>
        </w:numPr>
      </w:pPr>
      <w:r>
        <w:t xml:space="preserve">The output of research should be applied in practice.</w:t>
      </w:r>
      <w:r>
        <w:t xml:space="preserve"> </w:t>
      </w:r>
      <w:r>
        <w:t xml:space="preserve">Applying a novel technique to new data involves reproducing a part of the experiment which established the novel technique.</w:t>
      </w:r>
      <w:r>
        <w:t xml:space="preserve"> </w:t>
      </w:r>
      <w:r>
        <w:t xml:space="preserve">Therefore, reproducible experiments may be easier to apply in practice.</w:t>
      </w:r>
    </w:p>
    <w:p>
      <w:pPr>
        <w:pStyle w:val="FirstParagraph"/>
      </w:pPr>
      <w:r>
        <w:t xml:space="preserve">Reproducibility also has costs, primarily in human labor needed to explain the experiment beyond that which would be needed to merely disseminate the results.</w:t>
      </w:r>
      <w:r>
        <w:t xml:space="preserve"> </w:t>
      </w:r>
      <w:r>
        <w:t xml:space="preserve">Working scientists balance the cost of reproducibility with the benefits to society or to themselves.</w:t>
      </w:r>
    </w:p>
    <w:p>
      <w:pPr>
        <w:pStyle w:val="BodyText"/>
      </w:pPr>
      <w:r>
        <w:t xml:space="preserve">In real-world experiments, there are an infinitude of possible factors that must be controlled to find the desired result; it would be unfathomable that two instantiations of an experiment could give exactly identical results.</w:t>
      </w:r>
      <w:r>
        <w:t xml:space="preserve"> </w:t>
      </w:r>
      <w:r>
        <w:t xml:space="preserve">In contrast, for computational science experiments (from here on,</w:t>
      </w:r>
      <w:r>
        <w:t xml:space="preserve"> </w:t>
      </w:r>
      <w:r>
        <w:rPr>
          <w:b/>
          <w:bCs/>
        </w:rPr>
        <w:t xml:space="preserve">CS Exp</w:t>
      </w:r>
      <w:r>
        <w:t xml:space="preserve">) on digital computers, while there are still many factors to be controlled, perfect reproduction is quite fathomable.</w:t>
      </w:r>
      <w:r>
        <w:t xml:space="preserve"> </w:t>
      </w:r>
      <w:r>
        <w:t xml:space="preserve">Despite this apparent advantage, CS Exps on digital computers still suffer low rates of reproducibility.</w:t>
      </w:r>
    </w:p>
    <w:p>
      <w:pPr>
        <w:pStyle w:val="CaptionedFigure"/>
      </w:pPr>
      <w:r>
        <w:drawing>
          <wp:inline>
            <wp:extent cx="2667000" cy="2000250"/>
            <wp:effectExtent b="0" l="0" r="0" t="0"/>
            <wp:docPr descr="Figure 1: Effort-vs-reproducibility tradeoff curve in the status quo and with reproducibility tools" title="" id="21" name="Picture"/>
            <a:graphic>
              <a:graphicData uri="http://schemas.openxmlformats.org/drawingml/2006/picture">
                <pic:pic>
                  <pic:nvPicPr>
                    <pic:cNvPr descr="./plot0.pdf" id="22" name="Picture"/>
                    <pic:cNvPicPr>
                      <a:picLocks noChangeArrowheads="1" noChangeAspect="1"/>
                    </pic:cNvPicPr>
                  </pic:nvPicPr>
                  <pic:blipFill>
                    <a:blip r:embed="rId20"/>
                    <a:stretch>
                      <a:fillRect/>
                    </a:stretch>
                  </pic:blipFill>
                  <pic:spPr bwMode="auto">
                    <a:xfrm>
                      <a:off x="0" y="0"/>
                      <a:ext cx="2667000" cy="2000250"/>
                    </a:xfrm>
                    <a:prstGeom prst="rect">
                      <a:avLst/>
                    </a:prstGeom>
                    <a:noFill/>
                    <a:ln w="9525">
                      <a:noFill/>
                      <a:headEnd/>
                      <a:tailEnd/>
                    </a:ln>
                  </pic:spPr>
                </pic:pic>
              </a:graphicData>
            </a:graphic>
          </wp:inline>
        </w:drawing>
      </w:r>
    </w:p>
    <w:p>
      <w:pPr>
        <w:pStyle w:val="ImageCaption"/>
      </w:pPr>
      <w:r>
        <w:t xml:space="preserve">Figure 1: Effort-vs-reproducibility tradeoff curve in the status quo and with reproducibility tools</w:t>
      </w:r>
    </w:p>
    <w:p>
      <w:pPr>
        <w:pStyle w:val="BodyText"/>
      </w:pPr>
      <w:r>
        <w:t xml:space="preserve">The status quo will not change simply by arguing for reproducibility; those arguments are widely known are already taken into account by the efficient market.</w:t>
      </w:r>
      <w:r>
        <w:t xml:space="preserve"> </w:t>
      </w:r>
      <w:r>
        <w:t xml:space="preserve">Nor do I have the power to change incentives in science funding policy.</w:t>
      </w:r>
      <w:r>
        <w:t xml:space="preserve"> </w:t>
      </w:r>
      <w:r>
        <w:t xml:space="preserve">However, by reducing the cost of reproducibility, scientists may produce more reproducible experiments with the same effort (fig. 1).</w:t>
      </w:r>
      <w:r>
        <w:t xml:space="preserve"> </w:t>
      </w:r>
      <w:r>
        <w:t xml:space="preserve">Reducing the cost is a technical problem this work attempts to solve.</w:t>
      </w:r>
    </w:p>
    <w:p>
      <w:pPr>
        <w:pStyle w:val="BodyText"/>
      </w:pPr>
      <w:r>
        <w:t xml:space="preserve">For the purposes of this work,</w:t>
      </w:r>
      <w:r>
        <w:t xml:space="preserve"> </w:t>
      </w:r>
      <w:r>
        <w:t xml:space="preserve">“</w:t>
      </w:r>
      <w:r>
        <w:t xml:space="preserve">computational scientist</w:t>
      </w:r>
      <w:r>
        <w:t xml:space="preserve">”</w:t>
      </w:r>
      <w:r>
        <w:t xml:space="preserve"> </w:t>
      </w:r>
      <w:r>
        <w:t xml:space="preserve">(from here on,</w:t>
      </w:r>
      <w:r>
        <w:t xml:space="preserve"> </w:t>
      </w:r>
      <w:r>
        <w:rPr>
          <w:b/>
          <w:bCs/>
        </w:rPr>
        <w:t xml:space="preserve">CS</w:t>
      </w:r>
      <w:r>
        <w:t xml:space="preserve">) should be construed broadly, as anyone who uses research software to carry out some investigation.</w:t>
      </w:r>
      <w:r>
        <w:t xml:space="preserve"> </w:t>
      </w:r>
      <w:r>
        <w:t xml:space="preserve">The term includes people who use research software for data analytics and for simulations, so long as scrutinizability, extensibility, and applicability are motivators.</w:t>
      </w:r>
      <w:r>
        <w:t xml:space="preserve"> </w:t>
      </w:r>
      <w:r>
        <w:t xml:space="preserve">The term applies to professors in academia as well as analysts in a national lab.</w:t>
      </w:r>
    </w:p>
    <w:bookmarkEnd w:id="23"/>
    <w:bookmarkStart w:id="24" w:name="background"/>
    <w:p>
      <w:pPr>
        <w:pStyle w:val="Heading1"/>
      </w:pPr>
      <w:r>
        <w:rPr>
          <w:rStyle w:val="SectionNumber"/>
        </w:rPr>
        <w:t xml:space="preserve">2</w:t>
      </w:r>
      <w:r>
        <w:tab/>
      </w:r>
      <w:r>
        <w:t xml:space="preserve">Background</w:t>
      </w:r>
    </w:p>
    <w:p>
      <w:pPr>
        <w:pStyle w:val="FirstParagraph"/>
      </w:pPr>
      <w:r>
        <w:t xml:space="preserve">There have been conflicting sets of definitions for the terms</w:t>
      </w:r>
      <w:r>
        <w:t xml:space="preserve"> </w:t>
      </w:r>
      <w:r>
        <w:rPr>
          <w:i/>
          <w:iCs/>
        </w:rPr>
        <w:t xml:space="preserve">reproducibility</w:t>
      </w:r>
      <w:r>
        <w:t xml:space="preserve"> </w:t>
      </w:r>
      <w:r>
        <w:t xml:space="preserve">(Plesser 2018)</w:t>
      </w:r>
      <w:r>
        <w:t xml:space="preserve">.</w:t>
      </w:r>
      <w:r>
        <w:t xml:space="preserve"> </w:t>
      </w:r>
      <w:r>
        <w:t xml:space="preserve">In this work we will use the Association for Computing Machinery (from here on,</w:t>
      </w:r>
      <w:r>
        <w:t xml:space="preserve"> </w:t>
      </w:r>
      <w:r>
        <w:rPr>
          <w:b/>
          <w:bCs/>
        </w:rPr>
        <w:t xml:space="preserve">ACM</w:t>
      </w:r>
      <w:r>
        <w:t xml:space="preserve">) definition, if unspecified, although we will discuss the other definitions in the prior work section.</w:t>
      </w:r>
      <w:r>
        <w:t xml:space="preserve"> </w:t>
      </w:r>
      <w:r>
        <w:t xml:space="preserve">The ACM gave a compatible definition,</w:t>
      </w:r>
    </w:p>
    <w:p>
      <w:pPr>
        <w:pStyle w:val="BlockText"/>
      </w:pPr>
      <w:r>
        <w:rPr>
          <w:b/>
          <w:bCs/>
        </w:rPr>
        <w:t xml:space="preserve">Reproducibility</w:t>
      </w:r>
      <w:r>
        <w:t xml:space="preserve">:</w:t>
      </w:r>
      <w:r>
        <w:t xml:space="preserve"> </w:t>
      </w:r>
      <w:r>
        <w:t xml:space="preserve">(different team, same experimental setup)</w:t>
      </w:r>
      <w:r>
        <w:t xml:space="preserve"> </w:t>
      </w:r>
      <w:r>
        <w:t xml:space="preserve">The measurement can be obtained with stated precision by a different team using the same measurement procedure, the same measuring system, under the same operating conditions, in the same or a different location on multiple trials.</w:t>
      </w:r>
    </w:p>
    <w:p>
      <w:pPr>
        <w:pStyle w:val="BlockText"/>
      </w:pPr>
      <w:r>
        <w:t xml:space="preserve">-–</w:t>
      </w:r>
      <w:r>
        <w:t xml:space="preserve"> </w:t>
      </w:r>
      <w:r>
        <w:t xml:space="preserve">(</w:t>
      </w:r>
      <w:r>
        <w:rPr>
          <w:b/>
          <w:bCs/>
        </w:rPr>
        <w:t xml:space="preserve">acminc.staffArtiftReviewBadging2020?</w:t>
      </w:r>
      <w:r>
        <w:t xml:space="preserve">)</w:t>
      </w:r>
    </w:p>
    <w:p>
      <w:pPr>
        <w:pStyle w:val="FirstParagraph"/>
      </w:pPr>
      <w:r>
        <w:t xml:space="preserve">This is opposed to</w:t>
      </w:r>
      <w:r>
        <w:t xml:space="preserve"> </w:t>
      </w:r>
      <w:r>
        <w:rPr>
          <w:b/>
          <w:bCs/>
        </w:rPr>
        <w:t xml:space="preserve">repeatability</w:t>
      </w:r>
      <w:r>
        <w:t xml:space="preserve"> </w:t>
      </w:r>
      <w:r>
        <w:t xml:space="preserve">(same team, same experimental setup) and</w:t>
      </w:r>
      <w:r>
        <w:t xml:space="preserve"> </w:t>
      </w:r>
      <w:r>
        <w:rPr>
          <w:b/>
          <w:bCs/>
        </w:rPr>
        <w:t xml:space="preserve">replicability</w:t>
      </w:r>
      <w:r>
        <w:t xml:space="preserve"> </w:t>
      </w:r>
      <w:r>
        <w:t xml:space="preserve">(different team, different experimental setup).</w:t>
      </w:r>
    </w:p>
    <w:p>
      <w:pPr>
        <w:pStyle w:val="BodyText"/>
      </w:pPr>
      <w:r>
        <w:t xml:space="preserve">The ACM definition references more useful auxiliary terms, such as measurement procedure, operating conditions, stated precision, etc., so we will use that one for this work.</w:t>
      </w:r>
    </w:p>
    <w:p>
      <w:pPr>
        <w:pStyle w:val="BodyText"/>
      </w:pPr>
      <w:r>
        <w:t xml:space="preserve">Naïvely, every CSE would be</w:t>
      </w:r>
      <w:r>
        <w:t xml:space="preserve"> </w:t>
      </w:r>
      <w:r>
        <w:t xml:space="preserve">“</w:t>
      </w:r>
      <w:r>
        <w:t xml:space="preserve">reproducible</w:t>
      </w:r>
      <w:r>
        <w:t xml:space="preserve">”</w:t>
      </w:r>
      <w:r>
        <w:t xml:space="preserve">, since there is some, possibly unknown, set of conditions under which another team can make the measurement; i.e.,</w:t>
      </w:r>
      <w:r>
        <w:t xml:space="preserve"> </w:t>
      </w:r>
      <w:r>
        <w:t xml:space="preserve">“</w:t>
      </w:r>
      <w:r>
        <w:t xml:space="preserve">make your environment bit-wise the same as ours</w:t>
      </w:r>
      <w:r>
        <w:t xml:space="preserve">”</w:t>
      </w:r>
      <w:r>
        <w:t xml:space="preserve">.</w:t>
      </w:r>
      <w:r>
        <w:t xml:space="preserve"> </w:t>
      </w:r>
      <w:r>
        <w:t xml:space="preserve">To prevent the definition from being vacuous, we will only consider</w:t>
      </w:r>
      <w:r>
        <w:t xml:space="preserve"> </w:t>
      </w:r>
      <w:r>
        <w:rPr>
          <w:i/>
          <w:iCs/>
        </w:rPr>
        <w:t xml:space="preserve">explicitly stated</w:t>
      </w:r>
      <w:r>
        <w:t xml:space="preserve"> </w:t>
      </w:r>
      <w:r>
        <w:t xml:space="preserve">operating conditions.</w:t>
      </w:r>
    </w:p>
    <w:p>
      <w:pPr>
        <w:pStyle w:val="BodyText"/>
      </w:pPr>
      <w:r>
        <w:t xml:space="preserve">These definitions derive from</w:t>
      </w:r>
      <w:r>
        <w:t xml:space="preserve"> </w:t>
      </w:r>
      <w:r>
        <w:rPr>
          <w:i/>
          <w:iCs/>
        </w:rPr>
        <w:t xml:space="preserve">metrology</w:t>
      </w:r>
      <w:r>
        <w:t xml:space="preserve">, the science of measuring, and we will specialize some of the terms</w:t>
      </w:r>
      <w:r>
        <w:t xml:space="preserve"> </w:t>
      </w:r>
      <w:r>
        <w:t xml:space="preserve">“</w:t>
      </w:r>
      <w:r>
        <w:t xml:space="preserve">measurement</w:t>
      </w:r>
      <w:r>
        <w:t xml:space="preserve">”</w:t>
      </w:r>
      <w:r>
        <w:t xml:space="preserve">,</w:t>
      </w:r>
      <w:r>
        <w:t xml:space="preserve"> </w:t>
      </w:r>
      <w:r>
        <w:t xml:space="preserve">“</w:t>
      </w:r>
      <w:r>
        <w:t xml:space="preserve">measurement procedure</w:t>
      </w:r>
      <w:r>
        <w:t xml:space="preserve">”</w:t>
      </w:r>
      <w:r>
        <w:t xml:space="preserve">, and</w:t>
      </w:r>
      <w:r>
        <w:t xml:space="preserve"> </w:t>
      </w:r>
      <w:r>
        <w:t xml:space="preserve">“</w:t>
      </w:r>
      <w:r>
        <w:t xml:space="preserve">operating conditions</w:t>
      </w:r>
      <w:r>
        <w:t xml:space="preserve">”</w:t>
      </w:r>
      <w:r>
        <w:t xml:space="preserve"> </w:t>
      </w:r>
      <w:r>
        <w:t xml:space="preserve">in software context for computational science experiments.</w:t>
      </w:r>
    </w:p>
    <w:p>
      <w:pPr>
        <w:pStyle w:val="Compact"/>
        <w:numPr>
          <w:ilvl w:val="0"/>
          <w:numId w:val="1002"/>
        </w:numPr>
      </w:pPr>
      <w:r>
        <w:rPr>
          <w:b/>
          <w:bCs/>
        </w:rPr>
        <w:t xml:space="preserve">Measurement procedure (for CSEs)</w:t>
      </w:r>
      <w:r>
        <w:t xml:space="preserve">:</w:t>
      </w:r>
      <w:r>
        <w:t xml:space="preserve"> </w:t>
      </w:r>
      <w:r>
        <w:t xml:space="preserve">The application code and user-interactions required to run the application code (if any).</w:t>
      </w:r>
    </w:p>
    <w:p>
      <w:pPr>
        <w:pStyle w:val="Compact"/>
        <w:numPr>
          <w:ilvl w:val="0"/>
          <w:numId w:val="1002"/>
        </w:numPr>
      </w:pPr>
      <w:r>
        <w:rPr>
          <w:b/>
          <w:bCs/>
        </w:rPr>
        <w:t xml:space="preserve">Operating conditions (for CSEs)</w:t>
      </w:r>
      <w:r>
        <w:t xml:space="preserve">:</w:t>
      </w:r>
      <w:r>
        <w:t xml:space="preserve"> </w:t>
      </w:r>
      <w:r>
        <w:t xml:space="preserve">A set of conditions the computer system must implement in order to run a certain program.</w:t>
      </w:r>
      <w:r>
        <w:t xml:space="preserve"> </w:t>
      </w:r>
      <w:r>
        <w:t xml:space="preserve">E.g., GCC 12 at</w:t>
      </w:r>
      <w:r>
        <w:t xml:space="preserve"> </w:t>
      </w:r>
      <w:r>
        <w:rPr>
          <w:rStyle w:val="VerbatimChar"/>
        </w:rPr>
        <w:t xml:space="preserve">/usr/bin/gcc</w:t>
      </w:r>
      <w:r>
        <w:t xml:space="preserve"> </w:t>
      </w:r>
      <w:r>
        <w:t xml:space="preserve">compiled with certain features enabled.</w:t>
      </w:r>
    </w:p>
    <w:p>
      <w:pPr>
        <w:pStyle w:val="FirstParagraph"/>
      </w:pPr>
      <w:r>
        <w:t xml:space="preserve">One may over-specify operating conditions without changing the reproducibility status.</w:t>
      </w:r>
      <w:r>
        <w:t xml:space="preserve"> </w:t>
      </w:r>
      <w:r>
        <w:t xml:space="preserve">E.g., one might say their software requires GCC 12, but really GCC 12 or 13 would work.</w:t>
      </w:r>
      <w:r>
        <w:t xml:space="preserve"> </w:t>
      </w:r>
      <w:r>
        <w:t xml:space="preserve">It is quite difficult and often not necessary to know the necessary-and-sufficient set of operating conditions, so in practice, we usually have set of conditions that is sufficient but not necessary to operate the experiment.</w:t>
      </w:r>
    </w:p>
    <w:p>
      <w:pPr>
        <w:pStyle w:val="BodyText"/>
      </w:pPr>
      <w:r>
        <w:t xml:space="preserve">Operating conditions can be eliminated by moving them to the measurement procedure.</w:t>
      </w:r>
      <w:r>
        <w:t xml:space="preserve"> </w:t>
      </w:r>
      <w:r>
        <w:t xml:space="preserve">E.g., the program itself contains a copy of GCC 12.</w:t>
      </w:r>
      <w:r>
        <w:t xml:space="preserve"> </w:t>
      </w:r>
      <w:r>
        <w:t xml:space="preserve">For the purposes of this work, the operating conditions are the</w:t>
      </w:r>
      <w:r>
        <w:t xml:space="preserve"> </w:t>
      </w:r>
      <w:r>
        <w:t xml:space="preserve">“</w:t>
      </w:r>
      <w:r>
        <w:t xml:space="preserve">manual</w:t>
      </w:r>
      <w:r>
        <w:t xml:space="preserve">”</w:t>
      </w:r>
      <w:r>
        <w:t xml:space="preserve"> </w:t>
      </w:r>
      <w:r>
        <w:t xml:space="preserve">steps that the user has to take in order to use the measurement procedure to make the measurement.</w:t>
      </w:r>
    </w:p>
    <w:p>
      <w:pPr>
        <w:pStyle w:val="Compact"/>
        <w:numPr>
          <w:ilvl w:val="0"/>
          <w:numId w:val="1003"/>
        </w:numPr>
      </w:pPr>
      <w:r>
        <w:rPr>
          <w:b/>
          <w:bCs/>
        </w:rPr>
        <w:t xml:space="preserve">Measurement (for CSEs)</w:t>
      </w:r>
      <w:r>
        <w:t xml:space="preserve">:</w:t>
      </w:r>
      <w:r>
        <w:t xml:space="preserve"> </w:t>
      </w:r>
      <w:r>
        <w:t xml:space="preserve">Rather than offer a definition, we give some examples:</w:t>
      </w:r>
    </w:p>
    <w:p>
      <w:pPr>
        <w:pStyle w:val="Compact"/>
        <w:numPr>
          <w:ilvl w:val="1"/>
          <w:numId w:val="1004"/>
        </w:numPr>
      </w:pPr>
      <w:r>
        <w:rPr>
          <w:b/>
          <w:bCs/>
        </w:rPr>
        <w:t xml:space="preserve">Crash-freedom</w:t>
      </w:r>
      <w:r>
        <w:t xml:space="preserve">: program produces result without crashing.</w:t>
      </w:r>
    </w:p>
    <w:p>
      <w:pPr>
        <w:pStyle w:val="Compact"/>
        <w:numPr>
          <w:ilvl w:val="1"/>
          <w:numId w:val="1004"/>
        </w:numPr>
      </w:pPr>
      <w:r>
        <w:rPr>
          <w:b/>
          <w:bCs/>
        </w:rPr>
        <w:t xml:space="preserve">Bitwise equivalence</w:t>
      </w:r>
      <w:r>
        <w:t xml:space="preserve">: output files and streams are bit-wise identical.</w:t>
      </w:r>
    </w:p>
    <w:p>
      <w:pPr>
        <w:pStyle w:val="Compact"/>
        <w:numPr>
          <w:ilvl w:val="1"/>
          <w:numId w:val="1004"/>
        </w:numPr>
      </w:pPr>
      <w:r>
        <w:rPr>
          <w:b/>
          <w:bCs/>
        </w:rPr>
        <w:t xml:space="preserve">Statistical equivalence</w:t>
      </w:r>
      <w:r>
        <w:t xml:space="preserve">: overlapping confidence intervals, etc.</w:t>
      </w:r>
    </w:p>
    <w:p>
      <w:pPr>
        <w:pStyle w:val="Compact"/>
        <w:numPr>
          <w:ilvl w:val="1"/>
          <w:numId w:val="1004"/>
        </w:numPr>
      </w:pPr>
      <w:r>
        <w:rPr>
          <w:b/>
          <w:bCs/>
        </w:rPr>
        <w:t xml:space="preserve">Inferential equivalence</w:t>
      </w:r>
      <w:r>
        <w:t xml:space="preserve">: whether the inference is supported by the output.</w:t>
      </w:r>
    </w:p>
    <w:p>
      <w:pPr>
        <w:pStyle w:val="Compact"/>
        <w:numPr>
          <w:ilvl w:val="1"/>
          <w:numId w:val="1004"/>
        </w:numPr>
      </w:pPr>
      <w:r>
        <w:rPr>
          <w:b/>
          <w:bCs/>
        </w:rPr>
        <w:t xml:space="preserve">Others</w:t>
      </w:r>
      <w:r>
        <w:t xml:space="preserve">: domain-specific measurements/equivalences (e.g., XML-equivalence ignores order of attribtues)</w:t>
      </w:r>
    </w:p>
    <w:p>
      <w:pPr>
        <w:pStyle w:val="FirstParagraph"/>
      </w:pPr>
      <w:r>
        <w:t xml:space="preserve">In general, it is difficult to find a measurement that is both easy to assess and scientifically meaningful.</w:t>
      </w:r>
    </w:p>
    <w:tbl>
      <w:tblPr>
        <w:tblStyle w:val="Table"/>
        <w:tblW w:type="pct" w:w="5000"/>
        <w:jc w:val="left"/>
        <w:tblLayout w:type="fixed"/>
        <w:tblLook w:firstRow="1" w:lastRow="0" w:firstColumn="0" w:lastColumn="0" w:noHBand="0" w:noVBand="0" w:val="0020"/>
      </w:tblPr>
      <w:tblGrid>
        <w:gridCol w:w="1511"/>
        <w:gridCol w:w="2599"/>
        <w:gridCol w:w="3808"/>
      </w:tblGrid>
      <w:tr>
        <w:trPr>
          <w:tblHeader w:val="on"/>
        </w:trPr>
        <w:tc>
          <w:tcPr/>
          <w:p>
            <w:pPr>
              <w:pStyle w:val="Compact"/>
              <w:jc w:val="left"/>
            </w:pPr>
            <w:r>
              <w:t xml:space="preserve">Measurement</w:t>
            </w:r>
          </w:p>
        </w:tc>
        <w:tc>
          <w:tcPr/>
          <w:p>
            <w:pPr>
              <w:pStyle w:val="Compact"/>
              <w:jc w:val="left"/>
            </w:pPr>
            <w:r>
              <w:t xml:space="preserve">Easy to assess</w:t>
            </w:r>
          </w:p>
        </w:tc>
        <w:tc>
          <w:tcPr/>
          <w:p>
            <w:pPr>
              <w:pStyle w:val="Compact"/>
              <w:jc w:val="left"/>
            </w:pPr>
            <w:r>
              <w:t xml:space="preserve">Scientifically meaningful</w:t>
            </w:r>
          </w:p>
        </w:tc>
      </w:tr>
      <w:tr>
        <w:tc>
          <w:tcPr/>
          <w:p>
            <w:pPr>
              <w:pStyle w:val="Compact"/>
              <w:jc w:val="left"/>
            </w:pPr>
            <w:r>
              <w:t xml:space="preserve">Crash-freedom</w:t>
            </w:r>
          </w:p>
        </w:tc>
        <w:tc>
          <w:tcPr/>
          <w:p>
            <w:pPr>
              <w:pStyle w:val="Compact"/>
              <w:jc w:val="left"/>
            </w:pPr>
            <w:r>
              <w:t xml:space="preserve">Yes; does it crash?</w:t>
            </w:r>
          </w:p>
        </w:tc>
        <w:tc>
          <w:tcPr/>
          <w:p>
            <w:pPr>
              <w:pStyle w:val="Compact"/>
              <w:jc w:val="left"/>
            </w:pPr>
            <w:r>
              <w:t xml:space="preserve">Too lenient; could be no-crash but completely opposite result</w:t>
            </w:r>
          </w:p>
        </w:tc>
      </w:tr>
      <w:tr>
        <w:tc>
          <w:tcPr/>
          <w:p>
            <w:pPr>
              <w:pStyle w:val="Compact"/>
              <w:jc w:val="left"/>
            </w:pPr>
            <w:r>
              <w:t xml:space="preserve">Bitwise equivalence</w:t>
            </w:r>
          </w:p>
        </w:tc>
        <w:tc>
          <w:tcPr/>
          <w:p>
            <w:pPr>
              <w:pStyle w:val="Compact"/>
              <w:jc w:val="left"/>
            </w:pPr>
            <w:r>
              <w:t xml:space="preserve">Yes</w:t>
            </w:r>
          </w:p>
        </w:tc>
        <w:tc>
          <w:tcPr/>
          <w:p>
            <w:pPr>
              <w:pStyle w:val="Compact"/>
              <w:jc w:val="left"/>
            </w:pPr>
            <w:r>
              <w:t xml:space="preserve">Too strict; could be off by one decimal point</w:t>
            </w:r>
          </w:p>
        </w:tc>
      </w:tr>
      <w:tr>
        <w:tc>
          <w:tcPr/>
          <w:p>
            <w:pPr>
              <w:pStyle w:val="Compact"/>
              <w:jc w:val="left"/>
            </w:pPr>
            <w:r>
              <w:t xml:space="preserve">Statistical equivalence</w:t>
            </w:r>
          </w:p>
        </w:tc>
        <w:tc>
          <w:tcPr/>
          <w:p>
            <w:pPr>
              <w:pStyle w:val="Compact"/>
              <w:jc w:val="left"/>
            </w:pPr>
            <w:r>
              <w:t xml:space="preserve">Maybe; need to know output format</w:t>
            </w:r>
          </w:p>
        </w:tc>
        <w:tc>
          <w:tcPr/>
          <w:p>
            <w:pPr>
              <w:pStyle w:val="Compact"/>
              <w:jc w:val="left"/>
            </w:pPr>
            <w:r>
              <w:t xml:space="preserve">Maybe; need to know which statistics</w:t>
            </w:r>
            <w:r>
              <w:t xml:space="preserve"> </w:t>
            </w:r>
            <w:r>
              <w:rPr>
                <w:i/>
                <w:iCs/>
              </w:rPr>
              <w:t xml:space="preserve">can</w:t>
            </w:r>
            <w:r>
              <w:t xml:space="preserve"> </w:t>
            </w:r>
            <w:r>
              <w:t xml:space="preserve">be off</w:t>
            </w:r>
          </w:p>
        </w:tc>
      </w:tr>
      <w:tr>
        <w:tc>
          <w:tcPr/>
          <w:p>
            <w:pPr>
              <w:pStyle w:val="Compact"/>
              <w:jc w:val="left"/>
            </w:pPr>
            <w:r>
              <w:t xml:space="preserve">Inferential equivalence</w:t>
            </w:r>
          </w:p>
        </w:tc>
        <w:tc>
          <w:tcPr/>
          <w:p>
            <w:pPr>
              <w:pStyle w:val="Compact"/>
              <w:jc w:val="left"/>
            </w:pPr>
            <w:r>
              <w:t xml:space="preserve">No; need domain experts to argue about it</w:t>
            </w:r>
          </w:p>
        </w:tc>
        <w:tc>
          <w:tcPr/>
          <w:p>
            <w:pPr>
              <w:pStyle w:val="Compact"/>
              <w:jc w:val="left"/>
            </w:pPr>
            <w:r>
              <w:t xml:space="preserve">Yes</w:t>
            </w:r>
          </w:p>
        </w:tc>
      </w:tr>
    </w:tbl>
    <w:p>
      <w:pPr>
        <w:pStyle w:val="BodyText"/>
      </w:pPr>
      <w:r>
        <w:rPr>
          <w:b/>
          <w:bCs/>
        </w:rPr>
        <w:t xml:space="preserve">Composition of measurement procedures</w:t>
      </w:r>
      <w:r>
        <w:t xml:space="preserve">: The outcome of one measurement may be the input to another measurement procedure.</w:t>
      </w:r>
      <w:r>
        <w:t xml:space="preserve"> </w:t>
      </w:r>
      <w:r>
        <w:t xml:space="preserve">This can happen in CSEs as well as in physical experiments.</w:t>
      </w:r>
      <w:r>
        <w:t xml:space="preserve"> </w:t>
      </w:r>
      <w:r>
        <w:t xml:space="preserve">In physical experiments, one may use a device to calibrate (measure) some other device, and use that other device to measure some scientific phenomenon.</w:t>
      </w:r>
      <w:r>
        <w:t xml:space="preserve"> </w:t>
      </w:r>
      <w:r>
        <w:t xml:space="preserve">Likewise, In CSE, the output of compilation may be used as the input to another CSE.</w:t>
      </w:r>
      <w:r>
        <w:t xml:space="preserve"> </w:t>
      </w:r>
      <w:r>
        <w:t xml:space="preserve">One can measure a number of relevant properties of the result of a software compilation.</w:t>
      </w:r>
    </w:p>
    <w:tbl>
      <w:tblPr>
        <w:tblStyle w:val="Table"/>
        <w:tblW w:type="pct" w:w="5000"/>
        <w:jc w:val="left"/>
        <w:tblLayout w:type="fixed"/>
        <w:tblLook w:firstRow="1" w:lastRow="0" w:firstColumn="0" w:lastColumn="0" w:noHBand="0" w:noVBand="0" w:val="0020"/>
      </w:tblPr>
      <w:tblGrid>
        <w:gridCol w:w="2250"/>
        <w:gridCol w:w="5670"/>
      </w:tblGrid>
      <w:tr>
        <w:trPr>
          <w:tblHeader w:val="on"/>
        </w:trPr>
        <w:tc>
          <w:tcPr/>
          <w:p>
            <w:pPr>
              <w:pStyle w:val="Compact"/>
              <w:jc w:val="left"/>
            </w:pPr>
            <w:r>
              <w:t xml:space="preserve">Compilation measurement</w:t>
            </w:r>
          </w:p>
        </w:tc>
        <w:tc>
          <w:tcPr/>
          <w:p>
            <w:pPr>
              <w:pStyle w:val="Compact"/>
              <w:jc w:val="left"/>
            </w:pPr>
            <w:r>
              <w:t xml:space="preserve">Definition</w:t>
            </w:r>
          </w:p>
        </w:tc>
      </w:tr>
      <w:tr>
        <w:tc>
          <w:tcPr/>
          <w:p>
            <w:pPr>
              <w:pStyle w:val="Compact"/>
              <w:jc w:val="left"/>
            </w:pPr>
            <w:r>
              <w:t xml:space="preserve">Source equivalence</w:t>
            </w:r>
          </w:p>
        </w:tc>
        <w:tc>
          <w:tcPr/>
          <w:p>
            <w:pPr>
              <w:pStyle w:val="Compact"/>
              <w:jc w:val="left"/>
            </w:pPr>
            <w:r>
              <w:t xml:space="preserve">Compilation used exactly the same set of source code as input</w:t>
            </w:r>
          </w:p>
        </w:tc>
      </w:tr>
      <w:tr>
        <w:tc>
          <w:tcPr/>
          <w:p>
            <w:pPr>
              <w:pStyle w:val="Compact"/>
              <w:jc w:val="left"/>
            </w:pPr>
            <w:r>
              <w:t xml:space="preserve">Behavioral equivalence</w:t>
            </w:r>
          </w:p>
        </w:tc>
        <w:tc>
          <w:tcPr/>
          <w:p>
            <w:pPr>
              <w:pStyle w:val="Compact"/>
              <w:jc w:val="left"/>
            </w:pPr>
            <w:r>
              <w:t xml:space="preserve">The resulting binary has the same behavior as some other one</w:t>
            </w:r>
          </w:p>
        </w:tc>
      </w:tr>
      <w:tr>
        <w:tc>
          <w:tcPr/>
          <w:p>
            <w:pPr>
              <w:pStyle w:val="Compact"/>
              <w:jc w:val="left"/>
            </w:pPr>
            <w:r>
              <w:t xml:space="preserve">Bit-wise equivalence</w:t>
            </w:r>
          </w:p>
        </w:tc>
        <w:tc>
          <w:tcPr/>
          <w:p>
            <w:pPr>
              <w:pStyle w:val="Compact"/>
              <w:jc w:val="left"/>
            </w:pPr>
            <w:r>
              <w:t xml:space="preserve">As before, the binary is exactly the same as some other one</w:t>
            </w:r>
          </w:p>
        </w:tc>
      </w:tr>
    </w:tbl>
    <w:p>
      <w:pPr>
        <w:pStyle w:val="BodyText"/>
      </w:pPr>
      <w:r>
        <w:t xml:space="preserve">E.g., suppose one runs</w:t>
      </w:r>
      <w:r>
        <w:t xml:space="preserve"> </w:t>
      </w:r>
      <w:r>
        <w:rPr>
          <w:rStyle w:val="VerbatimChar"/>
        </w:rPr>
        <w:t xml:space="preserve">gcc main.c</w:t>
      </w:r>
      <w:r>
        <w:t xml:space="preserve"> </w:t>
      </w:r>
      <w:r>
        <w:t xml:space="preserve">on two systems and one system uses a different version of</w:t>
      </w:r>
      <w:r>
        <w:t xml:space="preserve"> </w:t>
      </w:r>
      <w:r>
        <w:rPr>
          <w:rStyle w:val="VerbatimChar"/>
        </w:rPr>
        <w:t xml:space="preserve">unistd.h</w:t>
      </w:r>
      <w:r>
        <w:t xml:space="preserve">, which is</w:t>
      </w:r>
      <w:r>
        <w:t xml:space="preserve"> </w:t>
      </w:r>
      <w:r>
        <w:rPr>
          <w:rStyle w:val="VerbatimChar"/>
        </w:rPr>
        <w:t xml:space="preserve">#included</w:t>
      </w:r>
      <w:r>
        <w:t xml:space="preserve"> </w:t>
      </w:r>
      <w:r>
        <w:t xml:space="preserve">by</w:t>
      </w:r>
      <w:r>
        <w:t xml:space="preserve"> </w:t>
      </w:r>
      <w:r>
        <w:rPr>
          <w:rStyle w:val="VerbatimChar"/>
        </w:rPr>
        <w:t xml:space="preserve">main.c</w:t>
      </w:r>
      <w:r>
        <w:t xml:space="preserve">.</w:t>
      </w:r>
      <w:r>
        <w:t xml:space="preserve"> </w:t>
      </w:r>
      <w:r>
        <w:t xml:space="preserve">The process (running</w:t>
      </w:r>
      <w:r>
        <w:t xml:space="preserve"> </w:t>
      </w:r>
      <w:r>
        <w:rPr>
          <w:rStyle w:val="VerbatimChar"/>
        </w:rPr>
        <w:t xml:space="preserve">gcc main.c</w:t>
      </w:r>
      <w:r>
        <w:t xml:space="preserve">) does not reproduce source-equivalent binaries, but it might reproduce behavior-equivalent binaries or bit-wise equivalent binaries (depending on how different</w:t>
      </w:r>
      <w:r>
        <w:t xml:space="preserve"> </w:t>
      </w:r>
      <w:r>
        <w:rPr>
          <w:rStyle w:val="VerbatimChar"/>
        </w:rPr>
        <w:t xml:space="preserve">unistd.h</w:t>
      </w:r>
      <w:r>
        <w:t xml:space="preserve">).</w:t>
      </w:r>
    </w:p>
    <w:bookmarkEnd w:id="24"/>
    <w:bookmarkStart w:id="50" w:name="related-work"/>
    <w:p>
      <w:pPr>
        <w:pStyle w:val="Heading1"/>
      </w:pPr>
      <w:r>
        <w:rPr>
          <w:rStyle w:val="SectionNumber"/>
        </w:rPr>
        <w:t xml:space="preserve">3</w:t>
      </w:r>
      <w:r>
        <w:tab/>
      </w:r>
      <w:r>
        <w:t xml:space="preserve">Related work</w:t>
      </w:r>
    </w:p>
    <w:p>
      <w:pPr>
        <w:pStyle w:val="FirstParagraph"/>
      </w:pPr>
      <w:r>
        <w:t xml:space="preserve">There are many related works that address reproducibility.</w:t>
      </w:r>
      <w:r>
        <w:t xml:space="preserve"> </w:t>
      </w:r>
      <w:r>
        <w:t xml:space="preserve">We will leverage the definitions and framework discussed above to contextualize each work.</w:t>
      </w:r>
      <w:r>
        <w:t xml:space="preserve"> </w:t>
      </w:r>
      <w:r>
        <w:t xml:space="preserve">Still, there is a significant gap in prior work that this work will exploit.</w:t>
      </w:r>
      <w:r>
        <w:t xml:space="preserve"> </w:t>
      </w:r>
      <w:r>
        <w:t xml:space="preserve">Prior work can be divided into these categories, which we will investigate in turn:</w:t>
      </w:r>
    </w:p>
    <w:p>
      <w:pPr>
        <w:pStyle w:val="Compact"/>
        <w:numPr>
          <w:ilvl w:val="0"/>
          <w:numId w:val="1005"/>
        </w:numPr>
      </w:pPr>
      <w:r>
        <w:t xml:space="preserve">Characterizing reproducibility in theory or in practice</w:t>
      </w:r>
    </w:p>
    <w:p>
      <w:pPr>
        <w:pStyle w:val="Compact"/>
        <w:numPr>
          <w:ilvl w:val="0"/>
          <w:numId w:val="1005"/>
        </w:numPr>
      </w:pPr>
      <w:r>
        <w:t xml:space="preserve">Studying approaches associated with proactively ensuring reproducibility</w:t>
      </w:r>
      <w:r>
        <w:t xml:space="preserve"> </w:t>
      </w:r>
    </w:p>
    <w:bookmarkStart w:id="33" w:name="characterizing-reproducibility"/>
    <w:p>
      <w:pPr>
        <w:pStyle w:val="Heading2"/>
      </w:pPr>
      <w:r>
        <w:rPr>
          <w:rStyle w:val="SectionNumber"/>
        </w:rPr>
        <w:t xml:space="preserve">3.1</w:t>
      </w:r>
      <w:r>
        <w:tab/>
      </w:r>
      <w:r>
        <w:t xml:space="preserve">Characterizing reproducibility</w:t>
      </w:r>
    </w:p>
    <w:p>
      <w:pPr>
        <w:pStyle w:val="FirstParagraph"/>
      </w:pPr>
      <w:r>
        <w:t xml:space="preserve">Several prior works attempt to characterize reproducibility in theory or in empirical data.</w:t>
      </w:r>
    </w:p>
    <w:bookmarkStart w:id="25" w:name="characterizing-reproducibility-in-theory"/>
    <w:p>
      <w:pPr>
        <w:pStyle w:val="Heading3"/>
      </w:pPr>
      <w:r>
        <w:rPr>
          <w:rStyle w:val="SectionNumber"/>
        </w:rPr>
        <w:t xml:space="preserve">3.1.1</w:t>
      </w:r>
      <w:r>
        <w:tab/>
      </w:r>
      <w:r>
        <w:t xml:space="preserve">Characterizing reproducibility in theory</w:t>
      </w:r>
    </w:p>
    <w:p>
      <w:pPr>
        <w:pStyle w:val="FirstParagraph"/>
      </w:pPr>
      <w:r>
        <w:t xml:space="preserve">Theoretical characterization begins by defining reproducibility.</w:t>
      </w:r>
    </w:p>
    <w:p>
      <w:pPr>
        <w:pStyle w:val="BodyText"/>
      </w:pPr>
      <w:r>
        <w:t xml:space="preserve">Claerbout and Karrenbach give,</w:t>
      </w:r>
    </w:p>
    <w:p>
      <w:pPr>
        <w:pStyle w:val="BlockText"/>
      </w:pPr>
      <w:r>
        <w:t xml:space="preserve">Running the same software on the same input data and obtaining the same results</w:t>
      </w:r>
    </w:p>
    <w:p>
      <w:pPr>
        <w:pStyle w:val="BlockText"/>
      </w:pPr>
      <w:r>
        <w:t xml:space="preserve">-–</w:t>
      </w:r>
      <w:r>
        <w:t xml:space="preserve"> </w:t>
      </w:r>
      <w:r>
        <w:t xml:space="preserve">(Claerbout and Karrenbach 1992)</w:t>
      </w:r>
    </w:p>
    <w:p>
      <w:pPr>
        <w:pStyle w:val="FirstParagraph"/>
      </w:pPr>
      <w:r>
        <w:t xml:space="preserve">which many other works use.</w:t>
      </w:r>
      <w:r>
        <w:t xml:space="preserve"> </w:t>
      </w:r>
      <w:r>
        <w:t xml:space="preserve">Replicability was defined later as</w:t>
      </w:r>
    </w:p>
    <w:p>
      <w:pPr>
        <w:pStyle w:val="BlockText"/>
      </w:pPr>
      <w:r>
        <w:t xml:space="preserve">Writing and then running new software based on the description of a computational model or method provided in the original publication, and obtaining results that are similar enough</w:t>
      </w:r>
    </w:p>
    <w:p>
      <w:pPr>
        <w:pStyle w:val="BlockText"/>
      </w:pPr>
      <w:r>
        <w:t xml:space="preserve">-–</w:t>
      </w:r>
      <w:r>
        <w:t xml:space="preserve"> </w:t>
      </w:r>
      <w:r>
        <w:t xml:space="preserve">(Rougier et al. 2017)</w:t>
      </w:r>
    </w:p>
    <w:p>
      <w:pPr>
        <w:pStyle w:val="FirstParagraph"/>
      </w:pPr>
      <w:r>
        <w:t xml:space="preserve">However, the ACM opted to use the terms how they were defined in metrology, which resulted in the same definitions being applied to opposite words as Claerbout and Karrenbach</w:t>
      </w:r>
      <w:r>
        <w:t xml:space="preserve"> </w:t>
      </w:r>
      <w:r>
        <w:t xml:space="preserve">Plesser (2018)</w:t>
      </w:r>
      <w:r>
        <w:t xml:space="preserve">.</w:t>
      </w:r>
      <w:r>
        <w:t xml:space="preserve"> </w:t>
      </w:r>
      <w:r>
        <w:t xml:space="preserve">But the ACM revised their definitions to be compatible with Claerbout and Karrenbach in 2020</w:t>
      </w:r>
      <w:r>
        <w:t xml:space="preserve"> </w:t>
      </w:r>
      <w:r>
        <w:t xml:space="preserve">(ACM Inc. staff 2020)</w:t>
      </w:r>
      <w:r>
        <w:t xml:space="preserve">, so the definitions are mostly in consensus.</w:t>
      </w:r>
    </w:p>
    <w:bookmarkEnd w:id="25"/>
    <w:bookmarkStart w:id="32" w:name="Xd33fa9e6e9fb7d6974d4e43a9774f836959e69c"/>
    <w:p>
      <w:pPr>
        <w:pStyle w:val="Heading3"/>
      </w:pPr>
      <w:r>
        <w:rPr>
          <w:rStyle w:val="SectionNumber"/>
        </w:rPr>
        <w:t xml:space="preserve">3.1.2</w:t>
      </w:r>
      <w:r>
        <w:tab/>
      </w:r>
      <w:r>
        <w:t xml:space="preserve">Empirical characterization of reproducibility</w:t>
      </w:r>
    </w:p>
    <w:p>
      <w:pPr>
        <w:pStyle w:val="FirstParagraph"/>
      </w:pPr>
      <w:r>
        <w:t xml:space="preserve">This group of related work seeks to characterize the degree of reproducibility or a proxy for reproducibility in a sample of CSEs empirically.</w:t>
      </w:r>
      <w:r>
        <w:t xml:space="preserve"> </w:t>
      </w:r>
      <w:r>
        <w:t xml:space="preserve">A proxy variable could be</w:t>
      </w:r>
      <w:r>
        <w:t xml:space="preserve"> </w:t>
      </w:r>
      <w:r>
        <w:t xml:space="preserve">“</w:t>
      </w:r>
      <w:r>
        <w:t xml:space="preserve">whether the source is available</w:t>
      </w:r>
      <w:r>
        <w:t xml:space="preserve">”</w:t>
      </w:r>
      <w:r>
        <w:t xml:space="preserve">, since this is a necessary but not sufficient condition for reproducibility.</w:t>
      </w:r>
    </w:p>
    <w:tbl>
      <w:tblPr>
        <w:tblStyle w:val="Table"/>
        <w:tblW w:type="pct" w:w="5000"/>
        <w:jc w:val="left"/>
        <w:tblLayout w:type="fixed"/>
        <w:tblLook w:firstRow="1" w:lastRow="0" w:firstColumn="0" w:lastColumn="0" w:noHBand="0" w:noVBand="0" w:val="0020"/>
      </w:tblPr>
      <w:tblGrid>
        <w:gridCol w:w="2103"/>
        <w:gridCol w:w="805"/>
        <w:gridCol w:w="894"/>
        <w:gridCol w:w="1431"/>
        <w:gridCol w:w="2058"/>
        <w:gridCol w:w="626"/>
      </w:tblGrid>
      <w:tr>
        <w:trPr>
          <w:tblHeader w:val="on"/>
        </w:trPr>
        <w:tc>
          <w:tcPr/>
          <w:p>
            <w:pPr>
              <w:pStyle w:val="Compact"/>
              <w:jc w:val="left"/>
            </w:pPr>
            <w:r>
              <w:t xml:space="preserve">Publication</w:t>
            </w:r>
          </w:p>
        </w:tc>
        <w:tc>
          <w:tcPr/>
          <w:p>
            <w:pPr>
              <w:pStyle w:val="Compact"/>
              <w:jc w:val="left"/>
            </w:pPr>
            <w:r>
              <w:t xml:space="preserve">N</w:t>
            </w:r>
          </w:p>
        </w:tc>
        <w:tc>
          <w:tcPr/>
          <w:p>
            <w:pPr>
              <w:pStyle w:val="Compact"/>
              <w:jc w:val="left"/>
            </w:pPr>
            <w:r>
              <w:t xml:space="preserve">Subjects</w:t>
            </w:r>
          </w:p>
        </w:tc>
        <w:tc>
          <w:tcPr/>
          <w:p>
            <w:pPr>
              <w:pStyle w:val="Compact"/>
              <w:jc w:val="left"/>
            </w:pPr>
            <w:r>
              <w:t xml:space="preserve">Population</w:t>
            </w:r>
          </w:p>
        </w:tc>
        <w:tc>
          <w:tcPr/>
          <w:p>
            <w:pPr>
              <w:pStyle w:val="Compact"/>
              <w:jc w:val="left"/>
            </w:pPr>
            <w:r>
              <w:t xml:space="preserve">Repro measurement assessed or proxy variable</w:t>
            </w:r>
          </w:p>
        </w:tc>
        <w:tc>
          <w:tcPr/>
          <w:p>
            <w:pPr>
              <w:pStyle w:val="Compact"/>
              <w:jc w:val="left"/>
            </w:pPr>
            <w:r>
              <w:t xml:space="preserve">Level</w:t>
            </w:r>
          </w:p>
        </w:tc>
      </w:tr>
      <w:tr>
        <w:tc>
          <w:tcPr/>
          <w:p>
            <w:pPr>
              <w:pStyle w:val="Compact"/>
              <w:jc w:val="left"/>
            </w:pPr>
            <w:r>
              <w:t xml:space="preserve">Vandewalle, Kovacevic, and Vetterli (2009)</w:t>
            </w:r>
          </w:p>
        </w:tc>
        <w:tc>
          <w:tcPr/>
          <w:p>
            <w:pPr>
              <w:pStyle w:val="Compact"/>
              <w:jc w:val="left"/>
            </w:pPr>
            <w:r>
              <w:t xml:space="preserve">134</w:t>
            </w:r>
          </w:p>
        </w:tc>
        <w:tc>
          <w:tcPr/>
          <w:p>
            <w:pPr>
              <w:pStyle w:val="Compact"/>
              <w:jc w:val="left"/>
            </w:pPr>
            <w:r>
              <w:t xml:space="preserve">Article artifacts</w:t>
            </w:r>
          </w:p>
        </w:tc>
        <w:tc>
          <w:tcPr/>
          <w:p>
            <w:pPr>
              <w:pStyle w:val="Compact"/>
              <w:jc w:val="left"/>
            </w:pPr>
            <w:r>
              <w:t xml:space="preserve">2004 ed. of img. proc. journal</w:t>
            </w:r>
          </w:p>
        </w:tc>
        <w:tc>
          <w:tcPr/>
          <w:p>
            <w:pPr>
              <w:pStyle w:val="Compact"/>
              <w:jc w:val="left"/>
            </w:pPr>
            <w:r>
              <w:t xml:space="preserve">Code availability</w:t>
            </w:r>
          </w:p>
        </w:tc>
        <w:tc>
          <w:tcPr/>
          <w:p>
            <w:pPr>
              <w:pStyle w:val="Compact"/>
              <w:jc w:val="left"/>
            </w:pPr>
            <w:r>
              <w:t xml:space="preserve">9%</w:t>
            </w:r>
          </w:p>
        </w:tc>
      </w:tr>
      <w:tr>
        <w:tc>
          <w:tcPr/>
          <w:p>
            <w:pPr>
              <w:pStyle w:val="Compact"/>
              <w:jc w:val="left"/>
            </w:pPr>
            <w:r>
              <w:t xml:space="preserve">Zhao et al. (2012)</w:t>
            </w:r>
          </w:p>
        </w:tc>
        <w:tc>
          <w:tcPr/>
          <w:p>
            <w:pPr>
              <w:pStyle w:val="Compact"/>
              <w:jc w:val="left"/>
            </w:pPr>
            <w:r>
              <w:t xml:space="preserve">92</w:t>
            </w:r>
          </w:p>
        </w:tc>
        <w:tc>
          <w:tcPr/>
          <w:p>
            <w:pPr>
              <w:pStyle w:val="Compact"/>
              <w:jc w:val="left"/>
            </w:pPr>
            <w:r>
              <w:t xml:space="preserve">Taverna workflows</w:t>
            </w:r>
          </w:p>
        </w:tc>
        <w:tc>
          <w:tcPr/>
          <w:p>
            <w:pPr>
              <w:pStyle w:val="Compact"/>
              <w:jc w:val="left"/>
            </w:pPr>
            <w:r>
              <w:t xml:space="preserve">myExp. 2007 – 2012</w:t>
            </w:r>
          </w:p>
        </w:tc>
        <w:tc>
          <w:tcPr/>
          <w:p>
            <w:pPr>
              <w:pStyle w:val="Compact"/>
              <w:jc w:val="left"/>
            </w:pPr>
            <w:r>
              <w:t xml:space="preserve">Crash-free execution</w:t>
            </w:r>
          </w:p>
        </w:tc>
        <w:tc>
          <w:tcPr/>
          <w:p>
            <w:pPr>
              <w:pStyle w:val="Compact"/>
              <w:jc w:val="left"/>
            </w:pPr>
            <w:r>
              <w:t xml:space="preserve">29%</w:t>
            </w:r>
          </w:p>
        </w:tc>
      </w:tr>
      <w:tr>
        <w:tc>
          <w:tcPr/>
          <w:p>
            <w:pPr>
              <w:pStyle w:val="Compact"/>
              <w:jc w:val="left"/>
            </w:pPr>
            <w:r>
              <w:t xml:space="preserve">Collberg and Proebsting (2016)</w:t>
            </w:r>
          </w:p>
        </w:tc>
        <w:tc>
          <w:tcPr/>
          <w:p>
            <w:pPr>
              <w:pStyle w:val="Compact"/>
              <w:jc w:val="left"/>
            </w:pPr>
            <w:r>
              <w:t xml:space="preserve">508</w:t>
            </w:r>
            <w:r>
              <w:rPr>
                <w:rStyle w:val="FootnoteReference"/>
              </w:rPr>
              <w:footnoteReference w:id="26"/>
            </w:r>
          </w:p>
        </w:tc>
        <w:tc>
          <w:tcPr/>
          <w:p>
            <w:pPr>
              <w:pStyle w:val="Compact"/>
              <w:jc w:val="left"/>
            </w:pPr>
            <w:r>
              <w:t xml:space="preserve">Source code</w:t>
            </w:r>
          </w:p>
        </w:tc>
        <w:tc>
          <w:tcPr/>
          <w:p>
            <w:pPr>
              <w:pStyle w:val="Compact"/>
              <w:jc w:val="left"/>
            </w:pPr>
            <w:r>
              <w:t xml:space="preserve">2012 eds. of CS journals</w:t>
            </w:r>
          </w:p>
        </w:tc>
        <w:tc>
          <w:tcPr/>
          <w:p>
            <w:pPr>
              <w:pStyle w:val="Compact"/>
              <w:jc w:val="left"/>
            </w:pPr>
            <w:r>
              <w:t xml:space="preserve">Crash-free compilation</w:t>
            </w:r>
          </w:p>
        </w:tc>
        <w:tc>
          <w:tcPr/>
          <w:p>
            <w:pPr>
              <w:pStyle w:val="Compact"/>
              <w:jc w:val="left"/>
            </w:pPr>
            <w:r>
              <w:t xml:space="preserve">48%</w:t>
            </w:r>
          </w:p>
        </w:tc>
      </w:tr>
      <w:tr>
        <w:tc>
          <w:tcPr/>
          <w:p>
            <w:pPr>
              <w:pStyle w:val="Compact"/>
              <w:jc w:val="left"/>
            </w:pPr>
            <w:r>
              <w:t xml:space="preserve">Gundersen and Kjensmo (2018)</w:t>
            </w:r>
          </w:p>
        </w:tc>
        <w:tc>
          <w:tcPr/>
          <w:p>
            <w:pPr>
              <w:pStyle w:val="Compact"/>
              <w:jc w:val="left"/>
            </w:pPr>
            <w:r>
              <w:t xml:space="preserve">400</w:t>
            </w:r>
          </w:p>
        </w:tc>
        <w:tc>
          <w:tcPr/>
          <w:p>
            <w:pPr>
              <w:pStyle w:val="Compact"/>
              <w:jc w:val="left"/>
            </w:pPr>
            <w:r>
              <w:t xml:space="preserve">Article artifacts</w:t>
            </w:r>
          </w:p>
        </w:tc>
        <w:tc>
          <w:tcPr/>
          <w:p>
            <w:pPr>
              <w:pStyle w:val="Compact"/>
              <w:jc w:val="left"/>
            </w:pPr>
            <w:r>
              <w:t xml:space="preserve">2013 – 2016 AI journals</w:t>
            </w:r>
          </w:p>
        </w:tc>
        <w:tc>
          <w:tcPr/>
          <w:p>
            <w:pPr>
              <w:pStyle w:val="Compact"/>
              <w:jc w:val="left"/>
            </w:pPr>
            <w:r>
              <w:t xml:space="preserve">Sufficient description</w:t>
            </w:r>
          </w:p>
        </w:tc>
        <w:tc>
          <w:tcPr/>
          <w:p>
            <w:pPr>
              <w:pStyle w:val="Compact"/>
              <w:jc w:val="left"/>
            </w:pPr>
            <w:r>
              <w:t xml:space="preserve">24%</w:t>
            </w:r>
            <w:r>
              <w:rPr>
                <w:rStyle w:val="FootnoteReference"/>
              </w:rPr>
              <w:footnoteReference w:id="27"/>
            </w:r>
          </w:p>
        </w:tc>
      </w:tr>
      <w:tr>
        <w:tc>
          <w:tcPr/>
          <w:p>
            <w:pPr>
              <w:pStyle w:val="Compact"/>
              <w:jc w:val="left"/>
            </w:pPr>
            <w:r>
              <w:t xml:space="preserve">Pimentel et al. (2019)</w:t>
            </w:r>
          </w:p>
        </w:tc>
        <w:tc>
          <w:tcPr/>
          <w:p>
            <w:pPr>
              <w:pStyle w:val="Compact"/>
              <w:jc w:val="left"/>
            </w:pPr>
            <w:r>
              <w:t xml:space="preserve">863,878</w:t>
            </w:r>
            <w:r>
              <w:rPr>
                <w:rStyle w:val="FootnoteReference"/>
              </w:rPr>
              <w:footnoteReference w:id="28"/>
            </w:r>
          </w:p>
        </w:tc>
        <w:tc>
          <w:tcPr/>
          <w:p>
            <w:pPr>
              <w:pStyle w:val="Compact"/>
              <w:jc w:val="left"/>
            </w:pPr>
            <w:r>
              <w:t xml:space="preserve">Jupyter notebooks</w:t>
            </w:r>
          </w:p>
        </w:tc>
        <w:tc>
          <w:tcPr/>
          <w:p>
            <w:pPr>
              <w:pStyle w:val="Compact"/>
              <w:jc w:val="left"/>
            </w:pPr>
            <w:r>
              <w:t xml:space="preserve">GitHub</w:t>
            </w:r>
          </w:p>
        </w:tc>
        <w:tc>
          <w:tcPr/>
          <w:p>
            <w:pPr>
              <w:pStyle w:val="Compact"/>
              <w:jc w:val="left"/>
            </w:pPr>
            <w:r>
              <w:t xml:space="preserve">Same-stdout execution</w:t>
            </w:r>
          </w:p>
        </w:tc>
        <w:tc>
          <w:tcPr/>
          <w:p>
            <w:pPr>
              <w:pStyle w:val="Compact"/>
              <w:jc w:val="left"/>
            </w:pPr>
            <w:r>
              <w:t xml:space="preserve">4%</w:t>
            </w:r>
          </w:p>
        </w:tc>
      </w:tr>
      <w:tr>
        <w:tc>
          <w:tcPr/>
          <w:p>
            <w:pPr>
              <w:pStyle w:val="Compact"/>
              <w:jc w:val="left"/>
            </w:pPr>
            <w:r>
              <w:t xml:space="preserve">Krafczyk et al. (2021)</w:t>
            </w:r>
          </w:p>
        </w:tc>
        <w:tc>
          <w:tcPr/>
          <w:p>
            <w:pPr>
              <w:pStyle w:val="Compact"/>
              <w:jc w:val="left"/>
            </w:pPr>
            <w:r>
              <w:t xml:space="preserve">5</w:t>
            </w:r>
          </w:p>
        </w:tc>
        <w:tc>
          <w:tcPr/>
          <w:p>
            <w:pPr>
              <w:pStyle w:val="Compact"/>
              <w:jc w:val="left"/>
            </w:pPr>
            <w:r>
              <w:t xml:space="preserve">Articles artifacts</w:t>
            </w:r>
          </w:p>
        </w:tc>
        <w:tc>
          <w:tcPr/>
          <w:p>
            <w:pPr>
              <w:pStyle w:val="Compact"/>
              <w:jc w:val="left"/>
            </w:pPr>
            <w:r>
              <w:t xml:space="preserve">Journal of Comp. Phys.</w:t>
            </w:r>
          </w:p>
        </w:tc>
        <w:tc>
          <w:tcPr/>
          <w:p>
            <w:pPr>
              <w:pStyle w:val="Compact"/>
              <w:jc w:val="left"/>
            </w:pPr>
            <w:r>
              <w:t xml:space="preserve">Figures and tables semantic equivalence</w:t>
            </w:r>
          </w:p>
        </w:tc>
        <w:tc>
          <w:tcPr/>
          <w:p>
            <w:pPr>
              <w:pStyle w:val="Compact"/>
              <w:jc w:val="left"/>
            </w:pPr>
            <w:r>
              <w:t xml:space="preserve">70%</w:t>
            </w:r>
            <w:r>
              <w:rPr>
                <w:rStyle w:val="FootnoteReference"/>
              </w:rPr>
              <w:footnoteReference w:id="29"/>
            </w:r>
          </w:p>
        </w:tc>
      </w:tr>
      <w:tr>
        <w:tc>
          <w:tcPr/>
          <w:p>
            <w:pPr>
              <w:pStyle w:val="Compact"/>
              <w:jc w:val="left"/>
            </w:pPr>
            <w:r>
              <w:t xml:space="preserve">Wang et al. (2021)</w:t>
            </w:r>
          </w:p>
        </w:tc>
        <w:tc>
          <w:tcPr/>
          <w:p>
            <w:pPr>
              <w:pStyle w:val="Compact"/>
              <w:jc w:val="left"/>
            </w:pPr>
            <w:r>
              <w:t xml:space="preserve">3,740</w:t>
            </w:r>
            <w:r>
              <w:rPr>
                <w:rStyle w:val="FootnoteReference"/>
              </w:rPr>
              <w:footnoteReference w:id="30"/>
            </w:r>
          </w:p>
        </w:tc>
        <w:tc>
          <w:tcPr/>
          <w:p>
            <w:pPr>
              <w:pStyle w:val="Compact"/>
              <w:jc w:val="left"/>
            </w:pPr>
            <w:r>
              <w:t xml:space="preserve">Jupyter notebooks</w:t>
            </w:r>
          </w:p>
        </w:tc>
        <w:tc>
          <w:tcPr/>
          <w:p>
            <w:pPr>
              <w:pStyle w:val="Compact"/>
              <w:jc w:val="left"/>
            </w:pPr>
            <w:r>
              <w:t xml:space="preserve">GitHub</w:t>
            </w:r>
          </w:p>
        </w:tc>
        <w:tc>
          <w:tcPr/>
          <w:p>
            <w:pPr>
              <w:pStyle w:val="Compact"/>
              <w:jc w:val="left"/>
            </w:pPr>
            <w:r>
              <w:t xml:space="preserve">Crash-free execution</w:t>
            </w:r>
          </w:p>
        </w:tc>
        <w:tc>
          <w:tcPr/>
          <w:p>
            <w:pPr>
              <w:pStyle w:val="Compact"/>
              <w:jc w:val="left"/>
            </w:pPr>
            <w:r>
              <w:t xml:space="preserve">19%</w:t>
            </w:r>
          </w:p>
        </w:tc>
      </w:tr>
      <w:tr>
        <w:tc>
          <w:tcPr/>
          <w:p>
            <w:pPr>
              <w:pStyle w:val="Compact"/>
              <w:jc w:val="left"/>
            </w:pPr>
            <w:r>
              <w:t xml:space="preserve">Trisovic et al. (2022)</w:t>
            </w:r>
          </w:p>
        </w:tc>
        <w:tc>
          <w:tcPr/>
          <w:p>
            <w:pPr>
              <w:pStyle w:val="Compact"/>
              <w:jc w:val="left"/>
            </w:pPr>
            <w:r>
              <w:t xml:space="preserve">2,109</w:t>
            </w:r>
            <w:r>
              <w:rPr>
                <w:rStyle w:val="FootnoteReference"/>
              </w:rPr>
              <w:footnoteReference w:id="31"/>
            </w:r>
          </w:p>
        </w:tc>
        <w:tc>
          <w:tcPr/>
          <w:p>
            <w:pPr>
              <w:pStyle w:val="Compact"/>
              <w:jc w:val="left"/>
            </w:pPr>
            <w:r>
              <w:t xml:space="preserve">R scripts</w:t>
            </w:r>
          </w:p>
        </w:tc>
        <w:tc>
          <w:tcPr/>
          <w:p>
            <w:pPr>
              <w:pStyle w:val="Compact"/>
              <w:jc w:val="left"/>
            </w:pPr>
            <w:r>
              <w:t xml:space="preserve">Harvard Dataverse</w:t>
            </w:r>
          </w:p>
        </w:tc>
        <w:tc>
          <w:tcPr/>
          <w:p>
            <w:pPr>
              <w:pStyle w:val="Compact"/>
              <w:jc w:val="left"/>
            </w:pPr>
            <w:r>
              <w:t xml:space="preserve">Crash-free execution</w:t>
            </w:r>
          </w:p>
        </w:tc>
        <w:tc>
          <w:tcPr/>
          <w:p>
            <w:pPr>
              <w:pStyle w:val="Compact"/>
              <w:jc w:val="left"/>
            </w:pPr>
            <w:r>
              <w:t xml:space="preserve">12%</w:t>
            </w:r>
          </w:p>
        </w:tc>
      </w:tr>
    </w:tbl>
    <w:p>
      <w:pPr>
        <w:pStyle w:val="BodyText"/>
      </w:pPr>
      <w:r>
        <w:t xml:space="preserve">Note that crash-freedom is prevalent because it is the easiest to automatically assess.</w:t>
      </w:r>
      <w:r>
        <w:t xml:space="preserve"> </w:t>
      </w:r>
      <w:r>
        <w:t xml:space="preserve">Source-availability requires human-intervention to test, so studies on crash-freedom simply begin from a corpus for which source code is available.</w:t>
      </w:r>
      <w:r>
        <w:t xml:space="preserve"> </w:t>
      </w:r>
      <w:r>
        <w:t xml:space="preserve">Note that stdout-equivalence is feasible because Jupyter Notebooks bundle the stdout with the code; otherwise, the stdout is usually thrown away.</w:t>
      </w:r>
    </w:p>
    <w:p>
      <w:pPr>
        <w:pStyle w:val="BodyText"/>
      </w:pPr>
      <w:r>
        <w:t xml:space="preserve">Overall, these studies show that reproducibility is a significant problem.</w:t>
      </w:r>
    </w:p>
    <w:p>
      <w:pPr>
        <w:pStyle w:val="BodyText"/>
      </w:pPr>
      <w:r>
        <w:t xml:space="preserve">Some of the studies, like Zhao et al., investigate the</w:t>
      </w:r>
      <w:r>
        <w:t xml:space="preserve"> </w:t>
      </w:r>
      <w:r>
        <w:rPr>
          <w:i/>
          <w:iCs/>
        </w:rPr>
        <w:t xml:space="preserve">reason</w:t>
      </w:r>
      <w:r>
        <w:t xml:space="preserve"> </w:t>
      </w:r>
      <w:r>
        <w:t xml:space="preserve">why some samples were not reproducible</w:t>
      </w:r>
      <w:r>
        <w:t xml:space="preserve"> </w:t>
      </w:r>
      <w:r>
        <w:t xml:space="preserve">(Zhao et al. 2012)</w:t>
      </w:r>
      <w:r>
        <w:t xml:space="preserve">, finding</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Reason</w:t>
            </w:r>
          </w:p>
        </w:tc>
        <w:tc>
          <w:tcPr/>
          <w:p>
            <w:pPr>
              <w:pStyle w:val="Compact"/>
              <w:jc w:val="left"/>
            </w:pPr>
            <w:r>
              <w:t xml:space="preserve">Proportion of failures</w:t>
            </w:r>
          </w:p>
        </w:tc>
      </w:tr>
      <w:tr>
        <w:tc>
          <w:tcPr/>
          <w:p>
            <w:pPr>
              <w:pStyle w:val="Compact"/>
              <w:jc w:val="left"/>
            </w:pPr>
            <w:r>
              <w:t xml:space="preserve">Unavailable/inaccessible 3rd party resource</w:t>
            </w:r>
          </w:p>
        </w:tc>
        <w:tc>
          <w:tcPr/>
          <w:p>
            <w:pPr>
              <w:pStyle w:val="Compact"/>
              <w:jc w:val="left"/>
            </w:pPr>
            <w:r>
              <w:t xml:space="preserve">41%</w:t>
            </w:r>
          </w:p>
        </w:tc>
      </w:tr>
      <w:tr>
        <w:tc>
          <w:tcPr/>
          <w:p>
            <w:pPr>
              <w:pStyle w:val="Compact"/>
              <w:jc w:val="left"/>
            </w:pPr>
            <w:r>
              <w:t xml:space="preserve">Updated 3rd party resource</w:t>
            </w:r>
          </w:p>
        </w:tc>
        <w:tc>
          <w:tcPr/>
          <w:p>
            <w:pPr>
              <w:pStyle w:val="Compact"/>
              <w:jc w:val="left"/>
            </w:pPr>
            <w:r>
              <w:t xml:space="preserve">7%</w:t>
            </w:r>
          </w:p>
        </w:tc>
      </w:tr>
      <w:tr>
        <w:tc>
          <w:tcPr/>
          <w:p>
            <w:pPr>
              <w:pStyle w:val="Compact"/>
              <w:jc w:val="left"/>
            </w:pPr>
            <w:r>
              <w:t xml:space="preserve">Missing example data</w:t>
            </w:r>
          </w:p>
        </w:tc>
        <w:tc>
          <w:tcPr/>
          <w:p>
            <w:pPr>
              <w:pStyle w:val="Compact"/>
              <w:jc w:val="left"/>
            </w:pPr>
            <w:r>
              <w:t xml:space="preserve">14%</w:t>
            </w:r>
          </w:p>
        </w:tc>
      </w:tr>
      <w:tr>
        <w:tc>
          <w:tcPr/>
          <w:p>
            <w:pPr>
              <w:pStyle w:val="Compact"/>
              <w:jc w:val="left"/>
            </w:pPr>
            <w:r>
              <w:t xml:space="preserve">Insufficient execution environment</w:t>
            </w:r>
          </w:p>
        </w:tc>
        <w:tc>
          <w:tcPr/>
          <w:p>
            <w:pPr>
              <w:pStyle w:val="Compact"/>
              <w:jc w:val="left"/>
            </w:pPr>
            <w:r>
              <w:t xml:space="preserve">12%</w:t>
            </w:r>
          </w:p>
        </w:tc>
      </w:tr>
      <w:tr>
        <w:tc>
          <w:tcPr/>
          <w:p>
            <w:pPr>
              <w:pStyle w:val="Compact"/>
              <w:jc w:val="left"/>
            </w:pPr>
            <w:r>
              <w:t xml:space="preserve">Insufficient metadata</w:t>
            </w:r>
          </w:p>
        </w:tc>
        <w:tc>
          <w:tcPr/>
          <w:p>
            <w:pPr>
              <w:pStyle w:val="Compact"/>
              <w:jc w:val="left"/>
            </w:pPr>
            <w:r>
              <w:t xml:space="preserve">27%</w:t>
            </w:r>
          </w:p>
        </w:tc>
      </w:tr>
    </w:tbl>
    <w:p>
      <w:pPr>
        <w:pStyle w:val="BodyText"/>
      </w:pPr>
      <w:r>
        <w:t xml:space="preserve">Zhao et al. remark that provenance could preserve or enable repair for several classes of failures, including unavailability of 3rd party resources and insufficient descriptions.</w:t>
      </w:r>
      <w:r>
        <w:t xml:space="preserve"> </w:t>
      </w:r>
      <w:r>
        <w:t xml:space="preserve">We will investigate this approach in my proposed work.</w:t>
      </w:r>
    </w:p>
    <w:bookmarkEnd w:id="32"/>
    <w:bookmarkEnd w:id="33"/>
    <w:bookmarkStart w:id="34" w:name="proactively-ensuring-reproducibility"/>
    <w:p>
      <w:pPr>
        <w:pStyle w:val="Heading2"/>
      </w:pPr>
      <w:r>
        <w:rPr>
          <w:rStyle w:val="SectionNumber"/>
        </w:rPr>
        <w:t xml:space="preserve">3.2</w:t>
      </w:r>
      <w:r>
        <w:tab/>
      </w:r>
      <w:r>
        <w:t xml:space="preserve">Proactively ensuring reproducibility</w:t>
      </w:r>
    </w:p>
    <w:p>
      <w:pPr>
        <w:pStyle w:val="FirstParagraph"/>
      </w:pPr>
      <w:r>
        <w:t xml:space="preserve">There are several proposed approach associated with proactively facilitating reproducibility:</w:t>
      </w:r>
    </w:p>
    <w:tbl>
      <w:tblPr>
        <w:tblStyle w:val="Table"/>
        <w:tblW w:type="pct" w:w="5000"/>
        <w:jc w:val="left"/>
        <w:tblLayout w:type="fixed"/>
        <w:tblLook w:firstRow="1" w:lastRow="0" w:firstColumn="0" w:lastColumn="0" w:noHBand="0" w:noVBand="0" w:val="0020"/>
      </w:tblPr>
      <w:tblGrid>
        <w:gridCol w:w="3350"/>
        <w:gridCol w:w="4569"/>
      </w:tblGrid>
      <w:tr>
        <w:trPr>
          <w:tblHeader w:val="on"/>
        </w:trPr>
        <w:tc>
          <w:tcPr/>
          <w:p>
            <w:pPr>
              <w:pStyle w:val="Compact"/>
              <w:jc w:val="left"/>
            </w:pPr>
            <w:r>
              <w:t xml:space="preserve">Approach</w:t>
            </w:r>
          </w:p>
        </w:tc>
        <w:tc>
          <w:tcPr/>
          <w:p>
            <w:pPr>
              <w:pStyle w:val="Compact"/>
              <w:jc w:val="left"/>
            </w:pPr>
            <w:r>
              <w:t xml:space="preserve">Aspect of reproducibility addressed</w:t>
            </w:r>
          </w:p>
        </w:tc>
      </w:tr>
      <w:tr>
        <w:tc>
          <w:tcPr/>
          <w:p>
            <w:pPr>
              <w:pStyle w:val="Compact"/>
              <w:jc w:val="left"/>
            </w:pPr>
            <w:r>
              <w:t xml:space="preserve">Scientific clouds</w:t>
            </w:r>
          </w:p>
        </w:tc>
        <w:tc>
          <w:tcPr/>
          <w:p>
            <w:pPr>
              <w:pStyle w:val="Compact"/>
              <w:jc w:val="left"/>
            </w:pPr>
            <w:r>
              <w:t xml:space="preserve">Reduces non-portable operating condions</w:t>
            </w:r>
          </w:p>
        </w:tc>
      </w:tr>
      <w:tr>
        <w:tc>
          <w:tcPr/>
          <w:p>
            <w:pPr>
              <w:pStyle w:val="Compact"/>
              <w:jc w:val="left"/>
            </w:pPr>
            <w:r>
              <w:t xml:space="preserve">Source artifact archival</w:t>
            </w:r>
          </w:p>
        </w:tc>
        <w:tc>
          <w:tcPr/>
          <w:p>
            <w:pPr>
              <w:pStyle w:val="Compact"/>
              <w:jc w:val="left"/>
            </w:pPr>
            <w:r>
              <w:t xml:space="preserve">Ensure attainability of operating condition</w:t>
            </w:r>
          </w:p>
        </w:tc>
      </w:tr>
      <w:tr>
        <w:tc>
          <w:tcPr/>
          <w:p>
            <w:pPr>
              <w:pStyle w:val="Compact"/>
              <w:jc w:val="left"/>
            </w:pPr>
            <w:r>
              <w:t xml:space="preserve">Workflowanagers</w:t>
            </w:r>
          </w:p>
        </w:tc>
        <w:tc>
          <w:tcPr/>
          <w:p>
            <w:pPr>
              <w:pStyle w:val="Compact"/>
              <w:jc w:val="left"/>
            </w:pPr>
            <w:r>
              <w:t xml:space="preserve">Simplify measurement procedure</w:t>
            </w:r>
          </w:p>
        </w:tc>
      </w:tr>
      <w:tr>
        <w:tc>
          <w:tcPr/>
          <w:p>
            <w:pPr>
              <w:pStyle w:val="Compact"/>
              <w:jc w:val="left"/>
            </w:pPr>
            <w:r>
              <w:t xml:space="preserve">Provenance</w:t>
            </w:r>
          </w:p>
        </w:tc>
        <w:tc>
          <w:tcPr/>
          <w:p>
            <w:pPr>
              <w:pStyle w:val="Compact"/>
              <w:jc w:val="left"/>
            </w:pPr>
            <w:r>
              <w:t xml:space="preserve">Identifies operating conditions</w:t>
            </w:r>
          </w:p>
        </w:tc>
      </w:tr>
      <w:tr>
        <w:tc>
          <w:tcPr/>
          <w:p>
            <w:pPr>
              <w:pStyle w:val="Compact"/>
              <w:jc w:val="left"/>
            </w:pPr>
            <w:r>
              <w:t xml:space="preserve">Record/replay executions</w:t>
            </w:r>
          </w:p>
        </w:tc>
        <w:tc>
          <w:tcPr/>
          <w:p>
            <w:pPr>
              <w:pStyle w:val="Compact"/>
              <w:jc w:val="left"/>
            </w:pPr>
            <w:r>
              <w:t xml:space="preserve">Reduces operating conditions</w:t>
            </w:r>
          </w:p>
        </w:tc>
      </w:tr>
      <w:tr>
        <w:tc>
          <w:tcPr/>
          <w:p>
            <w:pPr>
              <w:pStyle w:val="Compact"/>
              <w:jc w:val="left"/>
            </w:pPr>
            <w:r>
              <w:t xml:space="preserve">Virtualization/containerization</w:t>
            </w:r>
          </w:p>
        </w:tc>
        <w:tc>
          <w:tcPr/>
          <w:p>
            <w:pPr>
              <w:pStyle w:val="Compact"/>
              <w:jc w:val="left"/>
            </w:pPr>
            <w:r>
              <w:t xml:space="preserve">Reduces non-portable operating conditions</w:t>
            </w:r>
          </w:p>
        </w:tc>
      </w:tr>
      <w:tr>
        <w:tc>
          <w:tcPr/>
          <w:p>
            <w:pPr>
              <w:pStyle w:val="Compact"/>
              <w:jc w:val="left"/>
            </w:pPr>
            <w:r>
              <w:t xml:space="preserve">Digital notebooks</w:t>
            </w:r>
          </w:p>
        </w:tc>
        <w:tc>
          <w:tcPr/>
          <w:p>
            <w:pPr>
              <w:pStyle w:val="Compact"/>
              <w:jc w:val="left"/>
            </w:pPr>
            <w:r>
              <w:t xml:space="preserve">Explicates measurements</w:t>
            </w:r>
          </w:p>
        </w:tc>
      </w:tr>
    </w:tbl>
    <w:bookmarkEnd w:id="34"/>
    <w:bookmarkStart w:id="49" w:name="scientific-clouds"/>
    <w:p>
      <w:pPr>
        <w:pStyle w:val="Heading2"/>
      </w:pPr>
      <w:r>
        <w:rPr>
          <w:rStyle w:val="SectionNumber"/>
        </w:rPr>
        <w:t xml:space="preserve">3.3</w:t>
      </w:r>
      <w:r>
        <w:tab/>
      </w:r>
      <w:r>
        <w:t xml:space="preserve">Scientific clouds</w:t>
      </w:r>
    </w:p>
    <w:p>
      <w:pPr>
        <w:pStyle w:val="FirstParagraph"/>
      </w:pPr>
      <w:r>
        <w:t xml:space="preserve">Scientific clouds facilitate reproducibility by replacing a complex set of operating conditions (</w:t>
      </w:r>
      <w:r>
        <w:t xml:space="preserve">“</w:t>
      </w:r>
      <w:r>
        <w:t xml:space="preserve">install this, configure that</w:t>
      </w:r>
      <w:r>
        <w:t xml:space="preserve">”</w:t>
      </w:r>
      <w:r>
        <w:t xml:space="preserve">) with a single opeting condition: log in to a cloud system.</w:t>
      </w:r>
      <w:r>
        <w:t xml:space="preserve"> </w:t>
      </w:r>
      <w:r>
        <w:t xml:space="preserve">The cloud system hosts a controlled environment with t rest of the operating conditions already met.</w:t>
      </w:r>
    </w:p>
    <w:p>
      <w:pPr>
        <w:pStyle w:val="BodyText"/>
      </w:pPr>
      <w:r>
        <w:t xml:space="preserve">However, storing the environments and running executis in them is expensive.</w:t>
      </w:r>
      <w:r>
        <w:t xml:space="preserve"> </w:t>
      </w:r>
      <w:r>
        <w:t xml:space="preserve">Either the users have to pay, in which case the computational environment is not</w:t>
      </w:r>
      <w:r>
        <w:t xml:space="preserve"> </w:t>
      </w:r>
      <w:r>
        <w:t xml:space="preserve">“</w:t>
      </w:r>
      <w:r>
        <w:t xml:space="preserve">freely accessible</w:t>
      </w:r>
      <w:r>
        <w:t xml:space="preserve">”</w:t>
      </w:r>
      <w:r>
        <w:t xml:space="preserve">, orome institution may sponsor public-access.</w:t>
      </w:r>
      <w:r>
        <w:t xml:space="preserve"> </w:t>
      </w:r>
      <w:r>
        <w:t xml:space="preserve">Institutional grants for public-access may be indefinite or it may only last for a certain aunt of time due to funding constraintstbl. 1).</w:t>
      </w:r>
    </w:p>
    <w:bookmarkStart w:id="35" w:name="tbl:sci-clouds"/>
    <w:p>
      <w:pPr>
        <w:pStyle w:val="TableCaption"/>
      </w:pPr>
      <w:r>
        <w:t xml:space="preserve">Table 1: Various scientific clouds found in prior work, by creation date.</w:t>
      </w:r>
    </w:p>
    <w:tbl>
      <w:tblPr>
        <w:tblStyle w:val="Table"/>
        <w:tblW w:type="pct" w:w="5000"/>
        <w:jc w:val="left"/>
        <w:tblLayout w:type="fixed"/>
        <w:tblLook w:firstRow="1" w:lastRow="0" w:firstColumn="0" w:lastColumn="0" w:noHBand="0" w:noVBand="0" w:val="0020"/>
        <w:tblCaption w:val="Table 1: Various scientific clouds found in prior work, by creation date."/>
      </w:tblPr>
      <w:tblGrid>
        <w:gridCol w:w="1506"/>
        <w:gridCol w:w="1068"/>
        <w:gridCol w:w="1214"/>
        <w:gridCol w:w="2575"/>
        <w:gridCol w:w="97"/>
        <w:gridCol w:w="97"/>
        <w:gridCol w:w="97"/>
        <w:gridCol w:w="97"/>
        <w:gridCol w:w="97"/>
        <w:gridCol w:w="97"/>
        <w:gridCol w:w="97"/>
        <w:gridCol w:w="97"/>
        <w:gridCol w:w="97"/>
        <w:gridCol w:w="97"/>
        <w:gridCol w:w="97"/>
        <w:gridCol w:w="97"/>
        <w:gridCol w:w="97"/>
        <w:gridCol w:w="97"/>
        <w:gridCol w:w="97"/>
        <w:gridCol w:w="97"/>
      </w:tblGrid>
      <w:tr>
        <w:trPr>
          <w:tblHeader w:val="on"/>
        </w:trPr>
        <w:tc>
          <w:tcPr/>
          <w:p>
            <w:pPr>
              <w:pStyle w:val="Compact"/>
              <w:jc w:val="left"/>
            </w:pPr>
            <w:r>
              <w:t xml:space="preserve">Scientific Cloud</w:t>
            </w:r>
          </w:p>
        </w:tc>
        <w:tc>
          <w:tcPr/>
          <w:p>
            <w:pPr>
              <w:pStyle w:val="Compact"/>
              <w:jc w:val="left"/>
            </w:pPr>
            <w:r>
              <w:t xml:space="preserve">URL</w:t>
            </w:r>
          </w:p>
        </w:tc>
        <w:tc>
          <w:tcPr/>
          <w:p>
            <w:pPr>
              <w:pStyle w:val="Compact"/>
              <w:jc w:val="left"/>
            </w:pPr>
            <w:r>
              <w:t xml:space="preserve">Lifetime on Archive.org</w:t>
            </w:r>
          </w:p>
        </w:tc>
        <w:tc>
          <w:tcPr/>
          <w:p>
            <w:pPr>
              <w:pStyle w:val="Compact"/>
              <w:jc w:val="left"/>
            </w:pPr>
            <w:r>
              <w:t xml:space="preserve">Main publication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Binder</w:t>
            </w:r>
          </w:p>
        </w:tc>
        <w:tc>
          <w:tcPr/>
          <w:p>
            <w:pPr>
              <w:pStyle w:val="Compact"/>
              <w:jc w:val="left"/>
            </w:pPr>
            <w:r>
              <w:t xml:space="preserve">mybinder.g</w:t>
            </w:r>
          </w:p>
        </w:tc>
        <w:tc>
          <w:tcPr/>
          <w:p>
            <w:pPr>
              <w:pStyle w:val="Compact"/>
              <w:jc w:val="left"/>
            </w:pPr>
            <w:r>
              <w:t xml:space="preserve">2018 – present</w:t>
            </w:r>
          </w:p>
        </w:tc>
        <w:tc>
          <w:tcPr/>
          <w:p>
            <w:pPr>
              <w:pStyle w:val="Compact"/>
              <w:jc w:val="left"/>
            </w:pPr>
            <w:r>
              <w:t xml:space="preserve">Jupyter et al. (2018)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Chameleon Cloud (federated)</w:t>
            </w:r>
          </w:p>
        </w:tc>
        <w:tc>
          <w:tcPr/>
          <w:p>
            <w:pPr>
              <w:pStyle w:val="Compact"/>
              <w:jc w:val="left"/>
            </w:pPr>
            <w:r>
              <w:t xml:space="preserve">chameleoncloud.org</w:t>
            </w:r>
          </w:p>
        </w:tc>
        <w:tc>
          <w:tcPr/>
          <w:p>
            <w:pPr>
              <w:pStyle w:val="Compact"/>
              <w:jc w:val="left"/>
            </w:pPr>
            <w:r>
              <w:t xml:space="preserve">2015 –resent</w:t>
            </w:r>
          </w:p>
        </w:tc>
        <w:tc>
          <w:tcPr/>
          <w:p>
            <w:pPr>
              <w:pStyle w:val="Compact"/>
              <w:jc w:val="left"/>
            </w:pPr>
            <w:r>
              <w:t xml:space="preserve">Keahey et al. (2020)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PhenoMeNal portal</w:t>
            </w:r>
          </w:p>
        </w:tc>
        <w:tc>
          <w:tcPr/>
          <w:p>
            <w:pPr>
              <w:pStyle w:val="Compact"/>
              <w:jc w:val="left"/>
            </w:pPr>
            <w:r>
              <w:t xml:space="preserve">phenomenal-h2020.eu</w:t>
            </w:r>
          </w:p>
        </w:tc>
        <w:tc>
          <w:tcPr/>
          <w:p>
            <w:pPr>
              <w:pStyle w:val="Compact"/>
              <w:jc w:val="left"/>
            </w:pPr>
            <w:r>
              <w:t xml:space="preserve">2017 – 2023</w:t>
            </w:r>
          </w:p>
        </w:tc>
        <w:tc>
          <w:tcPr/>
          <w:p>
            <w:pPr>
              <w:pStyle w:val="Compact"/>
              <w:jc w:val="left"/>
            </w:pPr>
            <w:r>
              <w:t xml:space="preserve">Peters et al. (2019)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WholeTal</w:t>
            </w:r>
          </w:p>
        </w:tc>
        <w:tc>
          <w:tcPr/>
          <w:p>
            <w:pPr>
              <w:pStyle w:val="Compact"/>
              <w:jc w:val="left"/>
            </w:pPr>
            <w:r>
              <w:t xml:space="preserve">WholeTale.org</w:t>
            </w:r>
          </w:p>
        </w:tc>
        <w:tc>
          <w:tcPr/>
          <w:p>
            <w:pPr>
              <w:pStyle w:val="Compact"/>
              <w:jc w:val="left"/>
            </w:pPr>
            <w:r>
              <w:t xml:space="preserve">2016 – present</w:t>
            </w:r>
          </w:p>
        </w:tc>
        <w:tc>
          <w:tcPr/>
          <w:p>
            <w:pPr>
              <w:pStyle w:val="Compact"/>
              <w:jc w:val="left"/>
            </w:pPr>
            <w:r>
              <w:t xml:space="preserve">Brinckman et al. (2019)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GridSpace2</w:t>
            </w:r>
          </w:p>
        </w:tc>
        <w:tc>
          <w:tcPr/>
          <w:p>
            <w:pPr>
              <w:pStyle w:val="Compact"/>
              <w:jc w:val="left"/>
            </w:pPr>
            <w:r>
              <w:t xml:space="preserve">gs2.plgrid.pl</w:t>
            </w:r>
          </w:p>
        </w:tc>
        <w:tc>
          <w:tcPr/>
          <w:p>
            <w:pPr>
              <w:pStyle w:val="Compact"/>
              <w:jc w:val="left"/>
            </w:pPr>
            <w:r>
              <w:t xml:space="preserve">2015 – 2020</w:t>
            </w:r>
          </w:p>
        </w:tc>
        <w:tc>
          <w:tcPr/>
          <w:p>
            <w:pPr>
              <w:pStyle w:val="Compact"/>
              <w:jc w:val="left"/>
            </w:pPr>
            <w:r>
              <w:t xml:space="preserve">Ciepiela, Zaraska, and Sulka (2012)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Collage Authoring Environment</w:t>
            </w:r>
          </w:p>
        </w:tc>
        <w:tc>
          <w:tcPr/>
          <w:p>
            <w:pPr>
              <w:pStyle w:val="Compact"/>
              <w:jc w:val="left"/>
            </w:pPr>
            <w:r>
              <w:t xml:space="preserve">collage.elsevier.com</w:t>
            </w:r>
          </w:p>
        </w:tc>
        <w:tc>
          <w:tcPr/>
          <w:p>
            <w:pPr>
              <w:pStyle w:val="Compact"/>
              <w:jc w:val="left"/>
            </w:pPr>
            <w:r>
              <w:t xml:space="preserve">2013 – 2014</w:t>
            </w:r>
          </w:p>
        </w:tc>
        <w:tc>
          <w:tcPr/>
          <w:p>
            <w:pPr>
              <w:pStyle w:val="Compact"/>
              <w:jc w:val="left"/>
            </w:pPr>
            <w:r>
              <w:t xml:space="preserve">Nowakowski et al. (2011)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RunMyCode</w:t>
            </w:r>
          </w:p>
        </w:tc>
        <w:tc>
          <w:tcPr/>
          <w:p>
            <w:pPr>
              <w:pStyle w:val="Compact"/>
              <w:jc w:val="left"/>
            </w:pPr>
            <w:r>
              <w:t xml:space="preserve">RunMyCode.org</w:t>
            </w:r>
          </w:p>
        </w:tc>
        <w:tc>
          <w:tcPr/>
          <w:p>
            <w:pPr>
              <w:pStyle w:val="Compact"/>
              <w:jc w:val="left"/>
            </w:pPr>
            <w:r>
              <w:t xml:space="preserve">2012 – 2024</w:t>
            </w:r>
          </w:p>
        </w:tc>
        <w:tc>
          <w:tcPr/>
          <w:p>
            <w:pPr>
              <w:pStyle w:val="Compact"/>
              <w:jc w:val="left"/>
            </w:pPr>
            <w:r>
              <w:t xml:space="preserve">Stodden, Hurlin, and Perignon (2012)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SHARE</w:t>
            </w:r>
          </w:p>
        </w:tc>
        <w:tc>
          <w:tcPr/>
          <w:p>
            <w:pPr>
              <w:pStyle w:val="Compact"/>
            </w:pPr>
          </w:p>
        </w:tc>
        <w:tc>
          <w:tcPr/>
          <w:p>
            <w:pPr>
              <w:pStyle w:val="Compact"/>
              <w:jc w:val="left"/>
            </w:pPr>
            <w:r>
              <w:t xml:space="preserve">2011 – 2023</w:t>
            </w:r>
          </w:p>
        </w:tc>
        <w:tc>
          <w:tcPr/>
          <w:p>
            <w:pPr>
              <w:pStyle w:val="Compact"/>
              <w:jc w:val="left"/>
            </w:pPr>
            <w:r>
              <w:t xml:space="preserve">Van Gorp and Mazanek (2011)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Galaxy (federated)</w:t>
            </w:r>
          </w:p>
        </w:tc>
        <w:tc>
          <w:tcPr/>
          <w:p>
            <w:pPr>
              <w:pStyle w:val="Compact"/>
              <w:jc w:val="left"/>
            </w:pPr>
            <w:r>
              <w:t xml:space="preserve">usegalaxy.org</w:t>
            </w:r>
          </w:p>
        </w:tc>
        <w:tc>
          <w:tcPr/>
          <w:p>
            <w:pPr>
              <w:pStyle w:val="Compact"/>
              <w:jc w:val="left"/>
            </w:pPr>
            <w:r>
              <w:t xml:space="preserve">2007 – present</w:t>
            </w:r>
          </w:p>
        </w:tc>
        <w:tc>
          <w:tcPr/>
          <w:p>
            <w:pPr>
              <w:pStyle w:val="Compact"/>
              <w:jc w:val="left"/>
            </w:pPr>
            <w:r>
              <w:t xml:space="preserve">The Galaxy Community et al. (2024)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GenePattern</w:t>
            </w:r>
          </w:p>
        </w:tc>
        <w:tc>
          <w:tcPr/>
          <w:p>
            <w:pPr>
              <w:pStyle w:val="Compact"/>
              <w:jc w:val="left"/>
            </w:pPr>
            <w:r>
              <w:t xml:space="preserve">GenePattern.org</w:t>
            </w:r>
          </w:p>
        </w:tc>
        <w:tc>
          <w:tcPr/>
          <w:p>
            <w:pPr>
              <w:pStyle w:val="Compact"/>
              <w:jc w:val="left"/>
            </w:pPr>
            <w:r>
              <w:t xml:space="preserve">2006 – present</w:t>
            </w:r>
          </w:p>
        </w:tc>
        <w:tc>
          <w:tcPr/>
          <w:p>
            <w:pPr>
              <w:pStyle w:val="Compact"/>
              <w:jc w:val="left"/>
            </w:pPr>
            <w:r>
              <w:t xml:space="preserve">Reich et al. (2006)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5"/>
    <w:p>
      <w:pPr>
        <w:pStyle w:val="BodyText"/>
      </w:pPr>
      <w:r>
        <w:t xml:space="preserve">An improvement on this model is the</w:t>
      </w:r>
      <w:r>
        <w:t xml:space="preserve"> </w:t>
      </w:r>
      <w:r>
        <w:rPr>
          <w:i/>
          <w:iCs/>
        </w:rPr>
        <w:t xml:space="preserve">federated model</w:t>
      </w:r>
      <w:r>
        <w:t xml:space="preserve"> </w:t>
      </w:r>
      <w:r>
        <w:t xml:space="preserve">(as in Galaxy</w:t>
      </w:r>
      <w:r>
        <w:t xml:space="preserve"> </w:t>
      </w:r>
      <w:r>
        <w:t xml:space="preserve">(The Galaxy Community et al. 2024)</w:t>
      </w:r>
      <w:r>
        <w:t xml:space="preserve">), where the compute infrastructure could be provided by multiple parties which themselves may be free-access, pay-for-access, or locally hosted servers.</w:t>
      </w:r>
      <w:r>
        <w:t xml:space="preserve"> </w:t>
      </w:r>
      <w:r>
        <w:t xml:space="preserve">So long as the user can reserve compute resources on any</w:t>
      </w:r>
      <w:r>
        <w:t xml:space="preserve"> </w:t>
      </w:r>
      <w:r>
        <w:rPr>
          <w:i/>
          <w:iCs/>
        </w:rPr>
        <w:t xml:space="preserve">one</w:t>
      </w:r>
      <w:r>
        <w:t xml:space="preserve"> </w:t>
      </w:r>
      <w:r>
        <w:t xml:space="preserve">of them, they can import and run the CSE.</w:t>
      </w:r>
      <w:r>
        <w:t xml:space="preserve"> </w:t>
      </w:r>
      <w:r>
        <w:t xml:space="preserve">Federation doesn’t alleviate the funding problem, but it does spread out the funding problem; if the original grant runs out, some other institution can pick up the torch.</w:t>
      </w:r>
      <w:r>
        <w:t xml:space="preserve"> </w:t>
      </w:r>
      <w:r>
        <w:t xml:space="preserve">If all else fails, technically savvy individuals can run servers for just themselves (so-called</w:t>
      </w:r>
      <w:r>
        <w:t xml:space="preserve"> </w:t>
      </w:r>
      <w:r>
        <w:t xml:space="preserve">“</w:t>
      </w:r>
      <w:r>
        <w:t xml:space="preserve">self-hosting</w:t>
      </w:r>
      <w:r>
        <w:t xml:space="preserve">”</w:t>
      </w:r>
      <w:r>
        <w:t xml:space="preserve">).</w:t>
      </w:r>
      <w:r>
        <w:t xml:space="preserve"> </w:t>
      </w:r>
      <w:r>
        <w:t xml:space="preserve">However, federation trades off with standardization and consistency; a CSE may only work with certain infrastructure providers.</w:t>
      </w:r>
    </w:p>
    <w:bookmarkStart w:id="38" w:name="X8701cf80b778958df5bc000031edc1886d47a71"/>
    <w:p>
      <w:pPr>
        <w:pStyle w:val="Heading3"/>
      </w:pPr>
      <w:r>
        <w:rPr>
          <w:rStyle w:val="SectionNumber"/>
        </w:rPr>
        <w:t xml:space="preserve">3.3.1</w:t>
      </w:r>
      <w:r>
        <w:tab/>
      </w:r>
      <w:r>
        <w:t xml:space="preserve">Literate programming and digital notebooks</w:t>
      </w:r>
    </w:p>
    <w:p>
      <w:pPr>
        <w:pStyle w:val="FirstParagraph"/>
      </w:pPr>
      <w:r>
        <w:t xml:space="preserve">The idea of literate programming according to Knuth is to mix narrative and explanation into code.</w:t>
      </w:r>
    </w:p>
    <w:p>
      <w:pPr>
        <w:pStyle w:val="BlockText"/>
      </w:pPr>
      <w:r>
        <w:t xml:space="preserve">Instead of imagining that our main task is to instruct a computer what to do, let us concentrate rather on explaining to human beings what we want a computer to do.</w:t>
      </w:r>
    </w:p>
    <w:p>
      <w:pPr>
        <w:pStyle w:val="BlockText"/>
      </w:pPr>
      <w:r>
        <w:t xml:space="preserve">-–</w:t>
      </w:r>
      <w:r>
        <w:t xml:space="preserve"> </w:t>
      </w:r>
      <w:r>
        <w:t xml:space="preserve">(Knuth 1984)</w:t>
      </w:r>
    </w:p>
    <w:p>
      <w:pPr>
        <w:pStyle w:val="FirstParagraph"/>
      </w:pPr>
      <w:r>
        <w:t xml:space="preserve">Digital notebooks or electronic lab notebooks extend this to also include multimedia, such as graphs, widgets, and other data visualizations.</w:t>
      </w:r>
      <w:r>
        <w:t xml:space="preserve"> </w:t>
      </w:r>
      <w:r>
        <w:t xml:space="preserve">Popular digital notebooks include:</w:t>
      </w:r>
      <w:r>
        <w:t xml:space="preserve"> </w:t>
      </w:r>
      <w:r>
        <w:t xml:space="preserve">Jupyter, Amazon Sagemaker, Google Colab, Deepnote, Hex, Databricks Notebooks, DataCamp Workspace, JupyterLab, HyperQuery, Jetbrains Datalore, kaggle, NextJournal, Noteable, nteract, Observable, Query.me, VS Code notebooks, Mode Notebooks, Querybook, Zeppelin, Count, Husprey, Pluto.jl, Polynote, Zepl</w:t>
      </w:r>
      <w:r>
        <w:rPr>
          <w:rStyle w:val="FootnoteReference"/>
        </w:rPr>
        <w:footnoteReference w:id="36"/>
      </w:r>
      <w:r>
        <w:t xml:space="preserve">.</w:t>
      </w:r>
    </w:p>
    <w:p>
      <w:pPr>
        <w:pStyle w:val="BodyText"/>
      </w:pPr>
      <w:r>
        <w:t xml:space="preserve">Digital notebooks facilitate reproducibility by:</w:t>
      </w:r>
    </w:p>
    <w:p>
      <w:pPr>
        <w:pStyle w:val="Compact"/>
        <w:numPr>
          <w:ilvl w:val="0"/>
          <w:numId w:val="1006"/>
        </w:numPr>
      </w:pPr>
      <w:r>
        <w:t xml:space="preserve">encoding the measurement itself, which may otherwise be printed to</w:t>
      </w:r>
      <w:r>
        <w:t xml:space="preserve"> </w:t>
      </w:r>
      <w:r>
        <w:rPr>
          <w:rStyle w:val="VerbatimChar"/>
        </w:rPr>
        <w:t xml:space="preserve">stdout</w:t>
      </w:r>
      <w:r>
        <w:t xml:space="preserve"> </w:t>
      </w:r>
      <w:r>
        <w:t xml:space="preserve">and not distributed.</w:t>
      </w:r>
    </w:p>
    <w:p>
      <w:pPr>
        <w:pStyle w:val="Compact"/>
        <w:numPr>
          <w:ilvl w:val="0"/>
          <w:numId w:val="1006"/>
        </w:numPr>
      </w:pPr>
      <w:r>
        <w:t xml:space="preserve">encoding the explanation for the measurement procedure, making it easier to adapt if errors or difference arise.</w:t>
      </w:r>
    </w:p>
    <w:p>
      <w:pPr>
        <w:pStyle w:val="Compact"/>
        <w:numPr>
          <w:ilvl w:val="0"/>
          <w:numId w:val="1006"/>
        </w:numPr>
      </w:pPr>
      <w:r>
        <w:t xml:space="preserve">automating data analysis steps that would otherwise by typed into an interpreter and n saved.</w:t>
      </w:r>
    </w:p>
    <w:p>
      <w:pPr>
        <w:pStyle w:val="FirstParagraph"/>
      </w:pPr>
      <w:r>
        <w:t xml:space="preserve">However, digital notebooks still require a separate way of specifying the software environment (operating conditions).</w:t>
      </w:r>
      <w:r>
        <w:t xml:space="preserve"> </w:t>
      </w:r>
      <w:r>
        <w:t xml:space="preserve">Repo2docker, famously used by the scientific cloud Binder, standardizes a way of specifying the software environment for notebooks contained in a repository by leveraging off-the-shelf package managers</w:t>
      </w:r>
      <w:r>
        <w:t xml:space="preserve"> </w:t>
      </w:r>
      <w:r>
        <w:t xml:space="preserve">(Jupyter et al. 2018)</w:t>
      </w:r>
      <w:r>
        <w:t xml:space="preserve">.</w:t>
      </w:r>
      <w:r>
        <w:t xml:space="preserve"> </w:t>
      </w:r>
      <w:r>
        <w:t xml:space="preserve">We will discuss package managers as a solution foreproducibility later on; the pointtill stands that literate programming requires other methods to manage the soware environment in order to attain reproducibility.</w:t>
      </w:r>
    </w:p>
    <w:bookmarkEnd w:id="38"/>
    <w:bookmarkStart w:id="40" w:name="source-code-archival"/>
    <w:p>
      <w:pPr>
        <w:pStyle w:val="Heading3"/>
      </w:pPr>
      <w:r>
        <w:rPr>
          <w:rStyle w:val="SectionNumber"/>
        </w:rPr>
        <w:t xml:space="preserve">3.3.2</w:t>
      </w:r>
      <w:r>
        <w:tab/>
      </w:r>
      <w:r>
        <w:t xml:space="preserve">Source code archival</w:t>
      </w:r>
    </w:p>
    <w:p>
      <w:pPr>
        <w:pStyle w:val="FirstParagraph"/>
      </w:pPr>
      <w:r>
        <w:t xml:space="preserve">Source code archives (tbl. 2) facilitate reproducibity by making operating conditions namable and satisfiable.</w:t>
      </w:r>
      <w:r>
        <w:t xml:space="preserve"> </w:t>
      </w:r>
      <w:r>
        <w:t xml:space="preserve">Giving software and software versions a unique identifier makes the operating conditions explicitly namable.</w:t>
      </w:r>
      <w:r>
        <w:t xml:space="preserve"> </w:t>
      </w:r>
      <w:r>
        <w:t xml:space="preserve">Namability approaches include Digital Object IdentifiersDOI), Archival Resource Key (ARK), Uniform Resource Names (URNs), and persistt URLs (PURLs).</w:t>
      </w:r>
    </w:p>
    <w:p>
      <w:pPr>
        <w:pStyle w:val="BodyText"/>
      </w:pPr>
      <w:r>
        <w:t xml:space="preserve">Archiving old versions of core software helps conditions remain satisfiable, since old versions may otherwise get deleted or become unfindable.</w:t>
      </w:r>
    </w:p>
    <w:bookmarkStart w:id="39" w:name="tbl:source-archival"/>
    <w:p>
      <w:pPr>
        <w:pStyle w:val="TableCaption"/>
      </w:pPr>
      <w:r>
        <w:t xml:space="preserve">Table 2: Source Archives by creation date.</w:t>
      </w:r>
    </w:p>
    <w:tbl>
      <w:tblPr>
        <w:tblStyle w:val="Table"/>
        <w:tblW w:type="pct" w:w="5000"/>
        <w:jc w:val="left"/>
        <w:tblLayout w:type="fixed"/>
        <w:tblLook w:firstRow="1" w:lastRow="0" w:firstColumn="0" w:lastColumn="0" w:noHBand="0" w:noVBand="0" w:val="0020"/>
        <w:tblCaption w:val="Table 2: Source Archives by creation date."/>
      </w:tblPr>
      <w:tblGrid>
        <w:gridCol w:w="1827"/>
        <w:gridCol w:w="2233"/>
        <w:gridCol w:w="1150"/>
        <w:gridCol w:w="2707"/>
      </w:tblGrid>
      <w:tr>
        <w:trPr>
          <w:tblHeader w:val="on"/>
        </w:trPr>
        <w:tc>
          <w:tcPr/>
          <w:p>
            <w:pPr>
              <w:pStyle w:val="Compact"/>
              <w:jc w:val="left"/>
            </w:pPr>
            <w:r>
              <w:t xml:space="preserve">Source Code archive</w:t>
            </w:r>
          </w:p>
        </w:tc>
        <w:tc>
          <w:tcPr/>
          <w:p>
            <w:pPr>
              <w:pStyle w:val="Compact"/>
              <w:jc w:val="left"/>
            </w:pPr>
            <w:r>
              <w:t xml:space="preserve">Description</w:t>
            </w:r>
          </w:p>
        </w:tc>
        <w:tc>
          <w:tcPr/>
          <w:p>
            <w:pPr>
              <w:pStyle w:val="Compact"/>
              <w:jc w:val="left"/>
            </w:pPr>
            <w:r>
              <w:t xml:space="preserve">Lifetime</w:t>
            </w:r>
          </w:p>
        </w:tc>
        <w:tc>
          <w:tcPr/>
          <w:p>
            <w:pPr>
              <w:pStyle w:val="Compact"/>
              <w:jc w:val="left"/>
            </w:pPr>
            <w:r>
              <w:t xml:space="preserve">Main publication</w:t>
            </w:r>
          </w:p>
        </w:tc>
      </w:tr>
      <w:tr>
        <w:tc>
          <w:tcPr/>
          <w:p>
            <w:pPr>
              <w:pStyle w:val="Compact"/>
              <w:jc w:val="left"/>
            </w:pPr>
            <w:r>
              <w:t xml:space="preserve">Software Heritage Archive</w:t>
            </w:r>
          </w:p>
        </w:tc>
        <w:tc>
          <w:tcPr/>
          <w:p>
            <w:pPr>
              <w:pStyle w:val="Compact"/>
              <w:jc w:val="left"/>
            </w:pPr>
            <w:r>
              <w:t xml:space="preserve">Collects codes in other sources</w:t>
            </w:r>
          </w:p>
        </w:tc>
        <w:tc>
          <w:tcPr/>
          <w:p>
            <w:pPr>
              <w:pStyle w:val="Compact"/>
              <w:jc w:val="left"/>
            </w:pPr>
            <w:r>
              <w:t xml:space="preserve">2016 – present</w:t>
            </w:r>
          </w:p>
        </w:tc>
        <w:tc>
          <w:tcPr/>
          <w:p>
            <w:pPr>
              <w:pStyle w:val="Compact"/>
              <w:jc w:val="left"/>
            </w:pPr>
            <w:r>
              <w:t xml:space="preserve">(Di Cosmo et al. 2020)</w:t>
            </w:r>
          </w:p>
        </w:tc>
      </w:tr>
      <w:tr>
        <w:tc>
          <w:tcPr/>
          <w:p>
            <w:pPr>
              <w:pStyle w:val="Compact"/>
              <w:jc w:val="left"/>
            </w:pPr>
            <w:r>
              <w:t xml:space="preserve">Zenodo</w:t>
            </w:r>
          </w:p>
        </w:tc>
        <w:tc>
          <w:tcPr/>
          <w:p>
            <w:pPr>
              <w:pStyle w:val="Compact"/>
              <w:jc w:val="left"/>
            </w:pPr>
            <w:r>
              <w:t xml:space="preserve">User-uploaded research codes</w:t>
            </w:r>
          </w:p>
        </w:tc>
        <w:tc>
          <w:tcPr/>
          <w:p>
            <w:pPr>
              <w:pStyle w:val="Compact"/>
              <w:jc w:val="left"/>
            </w:pPr>
            <w:r>
              <w:t xml:space="preserve">2013 – present</w:t>
            </w:r>
          </w:p>
        </w:tc>
        <w:tc>
          <w:tcPr/>
          <w:p>
            <w:pPr>
              <w:pStyle w:val="Compact"/>
              <w:jc w:val="left"/>
            </w:pPr>
            <w:r>
              <w:t xml:space="preserve">(Sicilia, García-Barriocanal, and Sánchez-Alonso 2017)</w:t>
            </w:r>
          </w:p>
        </w:tc>
      </w:tr>
      <w:tr>
        <w:tc>
          <w:tcPr/>
          <w:p>
            <w:pPr>
              <w:pStyle w:val="Compact"/>
              <w:jc w:val="left"/>
            </w:pPr>
            <w:r>
              <w:t xml:space="preserve">FigShare</w:t>
            </w:r>
          </w:p>
        </w:tc>
        <w:tc>
          <w:tcPr/>
          <w:p>
            <w:pPr>
              <w:pStyle w:val="Compact"/>
              <w:jc w:val="left"/>
            </w:pPr>
            <w:r>
              <w:t xml:space="preserve">User-uploaded research codes</w:t>
            </w:r>
          </w:p>
        </w:tc>
        <w:tc>
          <w:tcPr/>
          <w:p>
            <w:pPr>
              <w:pStyle w:val="Compact"/>
              <w:jc w:val="left"/>
            </w:pPr>
            <w:r>
              <w:t xml:space="preserve">2012 – present</w:t>
            </w:r>
          </w:p>
        </w:tc>
        <w:tc>
          <w:tcPr/>
          <w:p>
            <w:pPr>
              <w:pStyle w:val="Compact"/>
              <w:jc w:val="left"/>
            </w:pPr>
            <w:r>
              <w:t xml:space="preserve">(Singh 2011)</w:t>
            </w:r>
          </w:p>
        </w:tc>
      </w:tr>
    </w:tbl>
    <w:bookmarkEnd w:id="39"/>
    <w:p>
      <w:pPr>
        <w:pStyle w:val="BodyText"/>
      </w:pPr>
      <w:r>
        <w:t xml:space="preserve">Storing source code in central archives shares some of the disavdantages of scientific clouds, but to a lesser extent.</w:t>
      </w:r>
      <w:r>
        <w:t xml:space="preserve"> </w:t>
      </w:r>
      <w:r>
        <w:t xml:space="preserve">Merely storing scientific software is much easier than offering to execute them on-demand.</w:t>
      </w:r>
      <w:r>
        <w:t xml:space="preserve"> </w:t>
      </w:r>
      <w:r>
        <w:t xml:space="preserve">Indeed, all of the source archival solutions we found in prior literature are still alive today; the same cannot be said for scientific clouds.</w:t>
      </w:r>
    </w:p>
    <w:p>
      <w:pPr>
        <w:pStyle w:val="BodyText"/>
      </w:pPr>
      <w:r>
        <w:t xml:space="preserve">While source code archival does help with unfulfillable conditions, it still requires someone or something to actually set up, configure, build, and install the source code to actually satisfy the condition</w:t>
      </w:r>
      <w:r>
        <w:t xml:space="preserve"> </w:t>
      </w:r>
      <w:r>
        <w:t xml:space="preserve">“</w:t>
      </w:r>
      <w:r>
        <w:t xml:space="preserve">install this version of that software</w:t>
      </w:r>
      <w:r>
        <w:t xml:space="preserve">”</w:t>
      </w:r>
      <w:r>
        <w:t xml:space="preserve">.</w:t>
      </w:r>
      <w:r>
        <w:t xml:space="preserve"> </w:t>
      </w:r>
      <w:r>
        <w:t xml:space="preserve">Other methods should work in concert, falling back on source code archival if the code is no longer available from the original hoster.</w:t>
      </w:r>
    </w:p>
    <w:bookmarkEnd w:id="40"/>
    <w:bookmarkStart w:id="44" w:name="workflow-managers"/>
    <w:p>
      <w:pPr>
        <w:pStyle w:val="Heading3"/>
      </w:pPr>
      <w:r>
        <w:rPr>
          <w:rStyle w:val="SectionNumber"/>
        </w:rPr>
        <w:t xml:space="preserve">3.3.3</w:t>
      </w:r>
      <w:r>
        <w:tab/>
      </w:r>
      <w:r>
        <w:t xml:space="preserve">Workflow managers</w:t>
      </w:r>
    </w:p>
    <w:p>
      <w:pPr>
        <w:pStyle w:val="FirstParagraph"/>
      </w:pPr>
      <w:r>
        <w:t xml:space="preserve">A workflow manager is a system that executes a directed acyclic graph of loosely coupled, coarse nodes.</w:t>
      </w:r>
      <w:r>
        <w:t xml:space="preserve"> </w:t>
      </w:r>
      <w:r>
        <w:t xml:space="preserve">Usually, each node is a process and each edge is a file.</w:t>
      </w:r>
    </w:p>
    <w:p>
      <w:pPr>
        <w:pStyle w:val="BodyText"/>
      </w:pPr>
      <w:r>
        <w:t xml:space="preserve">Workflow managers facilitate reproducibility by:</w:t>
      </w:r>
    </w:p>
    <w:p>
      <w:pPr>
        <w:pStyle w:val="Compact"/>
        <w:numPr>
          <w:ilvl w:val="0"/>
          <w:numId w:val="1007"/>
        </w:numPr>
      </w:pPr>
      <w:r>
        <w:t xml:space="preserve">Explicitly stating parts of the measurement procedure that would otherwise be unwritten (which script to run, in what order)</w:t>
      </w:r>
    </w:p>
    <w:p>
      <w:pPr>
        <w:pStyle w:val="Compact"/>
        <w:numPr>
          <w:ilvl w:val="0"/>
          <w:numId w:val="1007"/>
        </w:numPr>
      </w:pPr>
      <w:r>
        <w:t xml:space="preserve">Letting systems reason about the inputs and outputs of the measurement procedure</w:t>
      </w:r>
    </w:p>
    <w:p>
      <w:pPr>
        <w:pStyle w:val="FirstParagraph"/>
      </w:pPr>
      <w:r>
        <w:t xml:space="preserve">Moelder</w:t>
      </w:r>
      <w:r>
        <w:t xml:space="preserve"> </w:t>
      </w:r>
      <w:r>
        <w:t xml:space="preserve"> </w:t>
      </w:r>
      <w:r>
        <w:t xml:space="preserve">et al.</w:t>
      </w:r>
      <w:r>
        <w:t xml:space="preserve"> </w:t>
      </w:r>
      <w:r>
        <w:t xml:space="preserve">(Mölder et al. 2021)</w:t>
      </w:r>
      <w:r>
        <w:t xml:space="preserve"> </w:t>
      </w:r>
      <w:r>
        <w:t xml:space="preserve">give classify workflow engines by their interface (tbl. 3) which we extend.</w:t>
      </w:r>
      <w:r>
        <w:t xml:space="preserve"> </w:t>
      </w:r>
      <w:r>
        <w:t xml:space="preserve">The interface can be graphical, a library in a general purpose language (GPL), a domain specific language (DSL), or a data definition language (such as YAML).</w:t>
      </w:r>
      <w:r>
        <w:t xml:space="preserve"> </w:t>
      </w:r>
      <w:r>
        <w:t xml:space="preserve">We reclassified the workflow managers in Moelder’s system-independent class, since that does not refer to the interface, and we added other common workflow managers that have more than 1 workflow example in the registries listed in</w:t>
      </w:r>
      <w:r>
        <w:t xml:space="preserve"> </w:t>
      </w:r>
      <w:hyperlink r:id="rId41">
        <w:r>
          <w:rPr>
            <w:rStyle w:val="Hyperlink"/>
          </w:rPr>
          <w:t xml:space="preserve">https://workflows.communities/registries</w:t>
        </w:r>
      </w:hyperlink>
    </w:p>
    <w:bookmarkStart w:id="43" w:name="tbl:wfs"/>
    <w:p>
      <w:pPr>
        <w:pStyle w:val="TableCaption"/>
      </w:pPr>
      <w:r>
        <w:t xml:space="preserve">Table 3: Common workflow managers classified by interface. More available here:</w:t>
      </w:r>
      <w:r>
        <w:t xml:space="preserve"> </w:t>
      </w:r>
      <w:hyperlink r:id="rId42">
        <w:r>
          <w:rPr>
            <w:rStyle w:val="Hyperlink"/>
          </w:rPr>
          <w:t xml:space="preserve">https://github.com/meirwah/awesome-workflow-engines</w:t>
        </w:r>
      </w:hyperlink>
    </w:p>
    <w:tbl>
      <w:tblPr>
        <w:tblStyle w:val="Table"/>
        <w:tblW w:type="auto" w:w="0"/>
        <w:jc w:val="left"/>
        <w:tblLook w:firstRow="1" w:lastRow="0" w:firstColumn="0" w:lastColumn="0" w:noHBand="0" w:noVBand="0" w:val="0020"/>
        <w:tblCaption w:val="Table 3: Common workflow managers classified by interface. More available here: https://github.com/meirwah/awesome-workflow-engines"/>
      </w:tblPr>
      <w:tblGrid>
        <w:gridCol w:w="3960"/>
        <w:gridCol w:w="3960"/>
      </w:tblGrid>
      <w:tr>
        <w:trPr>
          <w:tblHeader w:val="on"/>
        </w:trPr>
        <w:tc>
          <w:tcPr/>
          <w:p>
            <w:pPr>
              <w:pStyle w:val="Compact"/>
              <w:jc w:val="left"/>
            </w:pPr>
            <w:r>
              <w:t xml:space="preserve">Workflow Manager</w:t>
            </w:r>
          </w:p>
        </w:tc>
        <w:tc>
          <w:tcPr/>
          <w:p>
            <w:pPr>
              <w:pStyle w:val="Compact"/>
              <w:jc w:val="left"/>
            </w:pPr>
            <w:r>
              <w:t xml:space="preserve">Interface</w:t>
            </w:r>
          </w:p>
        </w:tc>
      </w:tr>
      <w:tr>
        <w:tc>
          <w:tcPr/>
          <w:p>
            <w:pPr>
              <w:pStyle w:val="Compact"/>
              <w:jc w:val="left"/>
            </w:pPr>
            <w:r>
              <w:t xml:space="preserve">Galaxy</w:t>
            </w:r>
          </w:p>
        </w:tc>
        <w:tc>
          <w:tcPr/>
          <w:p>
            <w:pPr>
              <w:pStyle w:val="Compact"/>
              <w:jc w:val="left"/>
            </w:pPr>
            <w:r>
              <w:t xml:space="preserve">Graphical</w:t>
            </w:r>
          </w:p>
        </w:tc>
      </w:tr>
      <w:tr>
        <w:tc>
          <w:tcPr/>
          <w:p>
            <w:pPr>
              <w:pStyle w:val="Compact"/>
              <w:jc w:val="left"/>
            </w:pPr>
            <w:r>
              <w:t xml:space="preserve">KNIME</w:t>
            </w:r>
          </w:p>
        </w:tc>
        <w:tc>
          <w:tcPr/>
          <w:p>
            <w:pPr>
              <w:pStyle w:val="Compact"/>
              <w:jc w:val="left"/>
            </w:pPr>
            <w:r>
              <w:t xml:space="preserve">Graphical</w:t>
            </w:r>
          </w:p>
        </w:tc>
      </w:tr>
      <w:tr>
        <w:tc>
          <w:tcPr/>
          <w:p>
            <w:pPr>
              <w:pStyle w:val="Compact"/>
              <w:jc w:val="left"/>
            </w:pPr>
            <w:r>
              <w:t xml:space="preserve">Scipion</w:t>
            </w:r>
          </w:p>
        </w:tc>
        <w:tc>
          <w:tcPr/>
          <w:p>
            <w:pPr>
              <w:pStyle w:val="Compact"/>
              <w:jc w:val="left"/>
            </w:pPr>
            <w:r>
              <w:t xml:space="preserve">Grpahical</w:t>
            </w:r>
          </w:p>
        </w:tc>
      </w:tr>
      <w:tr>
        <w:tc>
          <w:tcPr/>
          <w:p>
            <w:pPr>
              <w:pStyle w:val="Compact"/>
              <w:jc w:val="left"/>
            </w:pPr>
            <w:r>
              <w:t xml:space="preserve">COMPS (in Java)</w:t>
            </w:r>
          </w:p>
        </w:tc>
        <w:tc>
          <w:tcPr/>
          <w:p>
            <w:pPr>
              <w:pStyle w:val="Compact"/>
              <w:jc w:val="left"/>
            </w:pPr>
            <w:r>
              <w:t xml:space="preserve">Library in GPL</w:t>
            </w:r>
          </w:p>
        </w:tc>
      </w:tr>
      <w:tr>
        <w:tc>
          <w:tcPr/>
          <w:p>
            <w:pPr>
              <w:pStyle w:val="Compact"/>
              <w:jc w:val="left"/>
            </w:pPr>
            <w:r>
              <w:t xml:space="preserve">Parsl (in Python)</w:t>
            </w:r>
          </w:p>
        </w:tc>
        <w:tc>
          <w:tcPr/>
          <w:p>
            <w:pPr>
              <w:pStyle w:val="Compact"/>
              <w:jc w:val="left"/>
            </w:pPr>
            <w:r>
              <w:t xml:space="preserve">Library in GPL</w:t>
            </w:r>
          </w:p>
        </w:tc>
      </w:tr>
      <w:tr>
        <w:tc>
          <w:tcPr/>
          <w:p>
            <w:pPr>
              <w:pStyle w:val="Compact"/>
              <w:jc w:val="left"/>
            </w:pPr>
            <w:r>
              <w:t xml:space="preserve">Dask (in Python)</w:t>
            </w:r>
          </w:p>
        </w:tc>
        <w:tc>
          <w:tcPr/>
          <w:p>
            <w:pPr>
              <w:pStyle w:val="Compact"/>
              <w:jc w:val="left"/>
            </w:pPr>
            <w:r>
              <w:t xml:space="preserve">Library in GPL</w:t>
            </w:r>
          </w:p>
        </w:tc>
      </w:tr>
      <w:tr>
        <w:tc>
          <w:tcPr/>
          <w:p>
            <w:pPr>
              <w:pStyle w:val="Compact"/>
              <w:jc w:val="left"/>
            </w:pPr>
            <w:r>
              <w:t xml:space="preserve">Pegasus (in Python, Java, R)</w:t>
            </w:r>
          </w:p>
        </w:tc>
        <w:tc>
          <w:tcPr/>
          <w:p>
            <w:pPr>
              <w:pStyle w:val="Compact"/>
              <w:jc w:val="left"/>
            </w:pPr>
            <w:r>
              <w:t xml:space="preserve">Library in GPL</w:t>
            </w:r>
          </w:p>
        </w:tc>
      </w:tr>
      <w:tr>
        <w:tc>
          <w:tcPr/>
          <w:p>
            <w:pPr>
              <w:pStyle w:val="Compact"/>
              <w:jc w:val="left"/>
            </w:pPr>
            <w:r>
              <w:t xml:space="preserve">Luigi (in Python)</w:t>
            </w:r>
          </w:p>
        </w:tc>
        <w:tc>
          <w:tcPr/>
          <w:p>
            <w:pPr>
              <w:pStyle w:val="Compact"/>
              <w:jc w:val="left"/>
            </w:pPr>
            <w:r>
              <w:t xml:space="preserve">Library in GPL</w:t>
            </w:r>
          </w:p>
        </w:tc>
      </w:tr>
      <w:tr>
        <w:tc>
          <w:tcPr/>
          <w:p>
            <w:pPr>
              <w:pStyle w:val="Compact"/>
              <w:jc w:val="left"/>
            </w:pPr>
            <w:r>
              <w:t xml:space="preserve">Nextflow</w:t>
            </w:r>
          </w:p>
        </w:tc>
        <w:tc>
          <w:tcPr/>
          <w:p>
            <w:pPr>
              <w:pStyle w:val="Compact"/>
              <w:jc w:val="left"/>
            </w:pPr>
            <w:r>
              <w:t xml:space="preserve">DSL</w:t>
            </w:r>
          </w:p>
        </w:tc>
      </w:tr>
      <w:tr>
        <w:tc>
          <w:tcPr/>
          <w:p>
            <w:pPr>
              <w:pStyle w:val="Compact"/>
              <w:jc w:val="left"/>
            </w:pPr>
            <w:r>
              <w:t xml:space="preserve">Snakemake</w:t>
            </w:r>
          </w:p>
        </w:tc>
        <w:tc>
          <w:tcPr/>
          <w:p>
            <w:pPr>
              <w:pStyle w:val="Compact"/>
              <w:jc w:val="left"/>
            </w:pPr>
            <w:r>
              <w:t xml:space="preserve">DSL</w:t>
            </w:r>
          </w:p>
        </w:tc>
      </w:tr>
      <w:tr>
        <w:tc>
          <w:tcPr/>
          <w:p>
            <w:pPr>
              <w:pStyle w:val="Compact"/>
              <w:jc w:val="left"/>
            </w:pPr>
            <w:r>
              <w:t xml:space="preserve">Workflow Description Language (WDL)</w:t>
            </w:r>
          </w:p>
        </w:tc>
        <w:tc>
          <w:tcPr/>
          <w:p>
            <w:pPr>
              <w:pStyle w:val="Compact"/>
              <w:jc w:val="left"/>
            </w:pPr>
            <w:r>
              <w:t xml:space="preserve">DSL</w:t>
            </w:r>
          </w:p>
        </w:tc>
      </w:tr>
      <w:tr>
        <w:tc>
          <w:tcPr/>
          <w:p>
            <w:pPr>
              <w:pStyle w:val="Compact"/>
              <w:jc w:val="left"/>
            </w:pPr>
            <w:r>
              <w:t xml:space="preserve">Bpipe</w:t>
            </w:r>
          </w:p>
        </w:tc>
        <w:tc>
          <w:tcPr/>
          <w:p>
            <w:pPr>
              <w:pStyle w:val="Compact"/>
              <w:jc w:val="left"/>
            </w:pPr>
            <w:r>
              <w:t xml:space="preserve">DSL</w:t>
            </w:r>
          </w:p>
        </w:tc>
      </w:tr>
      <w:tr>
        <w:tc>
          <w:tcPr/>
          <w:p>
            <w:pPr>
              <w:pStyle w:val="Compact"/>
              <w:jc w:val="left"/>
            </w:pPr>
            <w:r>
              <w:t xml:space="preserve">Common Workflow Language (CWL) (in YAML)</w:t>
            </w:r>
          </w:p>
        </w:tc>
        <w:tc>
          <w:tcPr/>
          <w:p>
            <w:pPr>
              <w:pStyle w:val="Compact"/>
              <w:jc w:val="left"/>
            </w:pPr>
            <w:r>
              <w:t xml:space="preserve">Data Definition Language</w:t>
            </w:r>
          </w:p>
        </w:tc>
      </w:tr>
    </w:tbl>
    <w:bookmarkEnd w:id="43"/>
    <w:p>
      <w:pPr>
        <w:pStyle w:val="BodyText"/>
      </w:pPr>
      <w:r>
        <w:t xml:space="preserve">Additionally, there are other ways to classify workflows, including parallelism (task, data, both, neither), static vs dynamic scheduling</w:t>
      </w:r>
      <w:r>
        <w:t xml:space="preserve"> </w:t>
      </w:r>
      <w:r>
        <w:t xml:space="preserve">(Liu et al. 2015)</w:t>
      </w:r>
      <w:r>
        <w:t xml:space="preserve">.</w:t>
      </w:r>
      <w:r>
        <w:t xml:space="preserve"> </w:t>
      </w:r>
      <w:r>
        <w:t xml:space="preserve">Workflows can be subjectively evaluated based on clarity, well-formedness, predictability, recordability, reportability, reusability, scientific data modelling, and automatic optimization</w:t>
      </w:r>
      <w:r>
        <w:t xml:space="preserve"> </w:t>
      </w:r>
      <w:r>
        <w:t xml:space="preserve">(McPhillips et al. 2009)</w:t>
      </w:r>
      <w:r>
        <w:t xml:space="preserve">.</w:t>
      </w:r>
    </w:p>
    <w:p>
      <w:pPr>
        <w:pStyle w:val="BodyText"/>
      </w:pPr>
      <w:r>
        <w:t xml:space="preserve">Workflow managers often represent a departure from what the user is currently doing, and therefore take significant effort to adopt.</w:t>
      </w:r>
      <w:r>
        <w:t xml:space="preserve"> </w:t>
      </w:r>
      <w:r>
        <w:t xml:space="preserve">Aditionally, workflow managers introduce another dependency which needs to be managed with another reproducibility strategy.</w:t>
      </w:r>
    </w:p>
    <w:bookmarkEnd w:id="44"/>
    <w:bookmarkStart w:id="46" w:name="provenance"/>
    <w:p>
      <w:pPr>
        <w:pStyle w:val="Heading3"/>
      </w:pPr>
      <w:r>
        <w:rPr>
          <w:rStyle w:val="SectionNumber"/>
        </w:rPr>
        <w:t xml:space="preserve">3.3.4</w:t>
      </w:r>
      <w:r>
        <w:tab/>
      </w:r>
      <w:r>
        <w:t xml:space="preserve">Provenance</w:t>
      </w:r>
    </w:p>
    <w:p>
      <w:pPr>
        <w:pStyle w:val="FirstParagraph"/>
      </w:pPr>
      <w:r>
        <w:t xml:space="preserve">Computational provenance (henceforth,</w:t>
      </w:r>
      <w:r>
        <w:t xml:space="preserve"> </w:t>
      </w:r>
      <w:r>
        <w:rPr>
          <w:b/>
          <w:bCs/>
        </w:rPr>
        <w:t xml:space="preserve">provenance</w:t>
      </w:r>
      <w:r>
        <w:t xml:space="preserve">) is the processes that generated a computational artifact, the inputs to that provenance, and the provenance of those inputs (recursively)</w:t>
      </w:r>
      <w:r>
        <w:t xml:space="preserve"> </w:t>
      </w:r>
      <w:r>
        <w:t xml:space="preserve">(Freire et al. 2008)</w:t>
      </w:r>
      <w:r>
        <w:t xml:space="preserve">.</w:t>
      </w:r>
      <w:r>
        <w:t xml:space="preserve"> </w:t>
      </w:r>
      <w:r>
        <w:t xml:space="preserve">Provenance facilitates reproducibility by explicitly stating the inputs (operating conditions).</w:t>
      </w:r>
    </w:p>
    <w:p>
      <w:pPr>
        <w:pStyle w:val="BodyText"/>
      </w:pPr>
      <w:r>
        <w:t xml:space="preserve">There are four levels at which one can capture computational provenance</w:t>
      </w:r>
      <w:r>
        <w:t xml:space="preserve"> </w:t>
      </w:r>
      <w:r>
        <w:t xml:space="preserve">(Freire et al. 2008)</w:t>
      </w:r>
      <w:r>
        <w:t xml:space="preserve"> </w:t>
      </w:r>
      <w:r>
        <w:t xml:space="preserve">(tbl. 4):</w:t>
      </w:r>
    </w:p>
    <w:p>
      <w:pPr>
        <w:pStyle w:val="Compact"/>
        <w:numPr>
          <w:ilvl w:val="0"/>
          <w:numId w:val="1008"/>
        </w:numPr>
      </w:pPr>
      <w:r>
        <w:rPr>
          <w:b/>
          <w:bCs/>
        </w:rPr>
        <w:t xml:space="preserve">application-level</w:t>
      </w:r>
      <w:r>
        <w:t xml:space="preserve">: modifying an application to report provenance data.</w:t>
      </w:r>
    </w:p>
    <w:p>
      <w:pPr>
        <w:pStyle w:val="Compact"/>
        <w:numPr>
          <w:ilvl w:val="0"/>
          <w:numId w:val="1008"/>
        </w:numPr>
      </w:pPr>
      <w:r>
        <w:rPr>
          <w:b/>
          <w:bCs/>
        </w:rPr>
        <w:t xml:space="preserve">workflow-level</w:t>
      </w:r>
      <w:r>
        <w:t xml:space="preserve"> </w:t>
      </w:r>
      <w:r>
        <w:t xml:space="preserve">or</w:t>
      </w:r>
      <w:r>
        <w:t xml:space="preserve"> </w:t>
      </w:r>
      <w:r>
        <w:rPr>
          <w:b/>
          <w:bCs/>
        </w:rPr>
        <w:t xml:space="preserve">language-level</w:t>
      </w:r>
      <w:r>
        <w:t xml:space="preserve">: leveraging a workflow engine or programming language to report provenance data.</w:t>
      </w:r>
    </w:p>
    <w:p>
      <w:pPr>
        <w:pStyle w:val="Compact"/>
        <w:numPr>
          <w:ilvl w:val="0"/>
          <w:numId w:val="1008"/>
        </w:numPr>
      </w:pPr>
      <w:r>
        <w:rPr>
          <w:b/>
          <w:bCs/>
        </w:rPr>
        <w:t xml:space="preserve">system-level</w:t>
      </w:r>
      <w:r>
        <w:t xml:space="preserve">: leveraging an operating system to report provenance data.</w:t>
      </w:r>
    </w:p>
    <w:p>
      <w:pPr>
        <w:pStyle w:val="Compact"/>
        <w:numPr>
          <w:ilvl w:val="0"/>
          <w:numId w:val="1008"/>
        </w:numPr>
      </w:pPr>
      <w:r>
        <w:rPr>
          <w:b/>
          <w:bCs/>
        </w:rPr>
        <w:t xml:space="preserve">service-level</w:t>
      </w:r>
      <w:r>
        <w:t xml:space="preserve">: recording provenance at the boundaries between services in a system.</w:t>
      </w:r>
    </w:p>
    <w:bookmarkStart w:id="45" w:name="tbl:provs"/>
    <w:p>
      <w:pPr>
        <w:pStyle w:val="TableCaption"/>
      </w:pPr>
      <w:r>
        <w:t xml:space="preserve">Table 4: Provenance capturing systems for CSE in prior work.</w:t>
      </w:r>
    </w:p>
    <w:tbl>
      <w:tblPr>
        <w:tblStyle w:val="Table"/>
        <w:tblW w:type="auto" w:w="0"/>
        <w:jc w:val="left"/>
        <w:tblLook w:firstRow="1" w:lastRow="0" w:firstColumn="0" w:lastColumn="0" w:noHBand="0" w:noVBand="0" w:val="0020"/>
        <w:tblCaption w:val="Table 4: Provenance capturing systems for CSE in prior work."/>
      </w:tblPr>
      <w:tblGrid>
        <w:gridCol w:w="3960"/>
        <w:gridCol w:w="3960"/>
      </w:tblGrid>
      <w:tr>
        <w:trPr>
          <w:tblHeader w:val="on"/>
        </w:trPr>
        <w:tc>
          <w:tcPr/>
          <w:p>
            <w:pPr>
              <w:pStyle w:val="Compact"/>
              <w:jc w:val="left"/>
            </w:pPr>
            <w:r>
              <w:t xml:space="preserve">Provenance system</w:t>
            </w:r>
          </w:p>
        </w:tc>
        <w:tc>
          <w:tcPr/>
          <w:p>
            <w:pPr>
              <w:pStyle w:val="Compact"/>
              <w:jc w:val="left"/>
            </w:pPr>
            <w:r>
              <w:t xml:space="preserve">Level</w:t>
            </w:r>
          </w:p>
        </w:tc>
      </w:tr>
      <w:tr>
        <w:tc>
          <w:tcPr/>
          <w:p>
            <w:pPr>
              <w:pStyle w:val="Compact"/>
              <w:jc w:val="left"/>
            </w:pPr>
            <w:r>
              <w:t xml:space="preserve">REDUX</w:t>
            </w:r>
          </w:p>
        </w:tc>
        <w:tc>
          <w:tcPr/>
          <w:p>
            <w:pPr>
              <w:pStyle w:val="Compact"/>
              <w:jc w:val="left"/>
            </w:pPr>
            <w:r>
              <w:t xml:space="preserve">Workflow-level</w:t>
            </w:r>
          </w:p>
        </w:tc>
      </w:tr>
      <w:tr>
        <w:tc>
          <w:tcPr/>
          <w:p>
            <w:pPr>
              <w:pStyle w:val="Compact"/>
              <w:jc w:val="left"/>
            </w:pPr>
            <w:r>
              <w:t xml:space="preserve">Swift</w:t>
            </w:r>
          </w:p>
        </w:tc>
        <w:tc>
          <w:tcPr/>
          <w:p>
            <w:pPr>
              <w:pStyle w:val="Compact"/>
              <w:jc w:val="left"/>
            </w:pPr>
            <w:r>
              <w:t xml:space="preserve">Worfklow-level</w:t>
            </w:r>
          </w:p>
        </w:tc>
      </w:tr>
      <w:tr>
        <w:tc>
          <w:tcPr/>
          <w:p>
            <w:pPr>
              <w:pStyle w:val="Compact"/>
              <w:jc w:val="left"/>
            </w:pPr>
            <w:r>
              <w:t xml:space="preserve">VisTrails</w:t>
            </w:r>
          </w:p>
        </w:tc>
        <w:tc>
          <w:tcPr/>
          <w:p>
            <w:pPr>
              <w:pStyle w:val="Compact"/>
              <w:jc w:val="left"/>
            </w:pPr>
            <w:r>
              <w:t xml:space="preserve">Workflow-level</w:t>
            </w:r>
          </w:p>
        </w:tc>
      </w:tr>
      <w:tr>
        <w:tc>
          <w:tcPr/>
          <w:p>
            <w:pPr>
              <w:pStyle w:val="Compact"/>
              <w:jc w:val="left"/>
            </w:pPr>
            <w:r>
              <w:t xml:space="preserve">Kepler</w:t>
            </w:r>
          </w:p>
        </w:tc>
        <w:tc>
          <w:tcPr/>
          <w:p>
            <w:pPr>
              <w:pStyle w:val="Compact"/>
              <w:jc w:val="left"/>
            </w:pPr>
            <w:r>
              <w:t xml:space="preserve">Workflow-level</w:t>
            </w:r>
          </w:p>
        </w:tc>
      </w:tr>
      <w:tr>
        <w:tc>
          <w:tcPr/>
          <w:p>
            <w:pPr>
              <w:pStyle w:val="Compact"/>
              <w:jc w:val="left"/>
            </w:pPr>
            <w:r>
              <w:t xml:space="preserve">Taverna</w:t>
            </w:r>
          </w:p>
        </w:tc>
        <w:tc>
          <w:tcPr/>
          <w:p>
            <w:pPr>
              <w:pStyle w:val="Compact"/>
              <w:jc w:val="left"/>
            </w:pPr>
            <w:r>
              <w:t xml:space="preserve">Workflow-level</w:t>
            </w:r>
          </w:p>
        </w:tc>
      </w:tr>
      <w:tr>
        <w:tc>
          <w:tcPr/>
          <w:p>
            <w:pPr>
              <w:pStyle w:val="Compact"/>
              <w:jc w:val="left"/>
            </w:pPr>
            <w:r>
              <w:t xml:space="preserve">PASS</w:t>
            </w:r>
          </w:p>
        </w:tc>
        <w:tc>
          <w:tcPr/>
          <w:p>
            <w:pPr>
              <w:pStyle w:val="Compact"/>
              <w:jc w:val="left"/>
            </w:pPr>
            <w:r>
              <w:t xml:space="preserve">System-level</w:t>
            </w:r>
          </w:p>
        </w:tc>
      </w:tr>
      <w:tr>
        <w:tc>
          <w:tcPr/>
          <w:p>
            <w:pPr>
              <w:pStyle w:val="Compact"/>
              <w:jc w:val="left"/>
            </w:pPr>
            <w:r>
              <w:t xml:space="preserve">ES3</w:t>
            </w:r>
          </w:p>
        </w:tc>
        <w:tc>
          <w:tcPr/>
          <w:p>
            <w:pPr>
              <w:pStyle w:val="Compact"/>
              <w:jc w:val="left"/>
            </w:pPr>
            <w:r>
              <w:t xml:space="preserve">System-level</w:t>
            </w:r>
          </w:p>
        </w:tc>
      </w:tr>
      <w:tr>
        <w:tc>
          <w:tcPr/>
          <w:p>
            <w:pPr>
              <w:pStyle w:val="Compact"/>
              <w:jc w:val="left"/>
            </w:pPr>
            <w:r>
              <w:t xml:space="preserve">Sumatra</w:t>
            </w:r>
          </w:p>
        </w:tc>
        <w:tc>
          <w:tcPr/>
          <w:p>
            <w:pPr>
              <w:pStyle w:val="Compact"/>
              <w:jc w:val="left"/>
            </w:pPr>
            <w:r>
              <w:t xml:space="preserve">System-level</w:t>
            </w:r>
          </w:p>
        </w:tc>
      </w:tr>
      <w:tr>
        <w:tc>
          <w:tcPr/>
          <w:p>
            <w:pPr>
              <w:pStyle w:val="Compact"/>
              <w:jc w:val="left"/>
            </w:pPr>
            <w:r>
              <w:t xml:space="preserve">PASOA</w:t>
            </w:r>
          </w:p>
        </w:tc>
        <w:tc>
          <w:tcPr/>
          <w:p>
            <w:pPr>
              <w:pStyle w:val="Compact"/>
              <w:jc w:val="left"/>
            </w:pPr>
            <w:r>
              <w:t xml:space="preserve">Service-level</w:t>
            </w:r>
          </w:p>
        </w:tc>
      </w:tr>
      <w:tr>
        <w:tc>
          <w:tcPr/>
          <w:p>
            <w:pPr>
              <w:pStyle w:val="Compact"/>
              <w:jc w:val="left"/>
            </w:pPr>
            <w:r>
              <w:t xml:space="preserve">Karma</w:t>
            </w:r>
          </w:p>
        </w:tc>
        <w:tc>
          <w:tcPr/>
          <w:p>
            <w:pPr>
              <w:pStyle w:val="Compact"/>
              <w:jc w:val="left"/>
            </w:pPr>
            <w:r>
              <w:t xml:space="preserve">Workflow-level or service-level</w:t>
            </w:r>
          </w:p>
        </w:tc>
      </w:tr>
      <w:tr>
        <w:tc>
          <w:tcPr/>
          <w:p>
            <w:pPr>
              <w:pStyle w:val="Compact"/>
              <w:jc w:val="left"/>
            </w:pPr>
            <w:r>
              <w:t xml:space="preserve">noWorkflow</w:t>
            </w:r>
          </w:p>
        </w:tc>
        <w:tc>
          <w:tcPr/>
          <w:p>
            <w:pPr>
              <w:pStyle w:val="Compact"/>
              <w:jc w:val="left"/>
            </w:pPr>
            <w:r>
              <w:t xml:space="preserve">Language-level</w:t>
            </w:r>
          </w:p>
        </w:tc>
      </w:tr>
    </w:tbl>
    <w:bookmarkEnd w:id="45"/>
    <w:p>
      <w:pPr>
        <w:pStyle w:val="BodyText"/>
      </w:pPr>
      <w:r>
        <w:t xml:space="preserve">More provenance systems and classifications are discussed in the First Provenance Challenge</w:t>
      </w:r>
      <w:r>
        <w:t xml:space="preserve"> </w:t>
      </w:r>
      <w:r>
        <w:t xml:space="preserve">(Moreau et al. 2008)</w:t>
      </w:r>
      <w:r>
        <w:t xml:space="preserve">.</w:t>
      </w:r>
    </w:p>
    <w:p>
      <w:pPr>
        <w:pStyle w:val="BodyText"/>
      </w:pPr>
      <w:r>
        <w:t xml:space="preserve">Most of these provenance systems are implemented at a workflow-level or service-level, so they are only applicable to users of that workflow or service.</w:t>
      </w:r>
      <w:r>
        <w:t xml:space="preserve"> </w:t>
      </w:r>
      <w:r>
        <w:t xml:space="preserve">System-level could be more generally usable by any program running in that system.</w:t>
      </w:r>
      <w:r>
        <w:t xml:space="preserve"> </w:t>
      </w:r>
      <w:r>
        <w:t xml:space="preserve">However, neither Sumatra, PASS, nor ES3 leverage the provenance to create automatic replay.</w:t>
      </w:r>
      <w:r>
        <w:t xml:space="preserve"> </w:t>
      </w:r>
      <w:r>
        <w:t xml:space="preserve">These methods help reproducibility, but they do not deliver</w:t>
      </w:r>
      <w:r>
        <w:t xml:space="preserve"> </w:t>
      </w:r>
      <w:r>
        <w:t xml:space="preserve">“</w:t>
      </w:r>
      <w:r>
        <w:t xml:space="preserve">push button</w:t>
      </w:r>
      <w:r>
        <w:t xml:space="preserve">”</w:t>
      </w:r>
      <w:r>
        <w:t xml:space="preserve"> </w:t>
      </w:r>
      <w:r>
        <w:t xml:space="preserve">reproducibility, which we need to extract the maximum value from the minimum amount of work.</w:t>
      </w:r>
    </w:p>
    <w:p>
      <w:pPr>
        <w:pStyle w:val="BodyText"/>
      </w:pPr>
      <w:r>
        <w:t xml:space="preserve">noWorkflow attempts to capture provenance for arbitrary Python programs</w:t>
      </w:r>
      <w:r>
        <w:t xml:space="preserve"> </w:t>
      </w:r>
      <w:r>
        <w:t xml:space="preserve">(Murta et al. 2015)</w:t>
      </w:r>
      <w:r>
        <w:t xml:space="preserve">.</w:t>
      </w:r>
      <w:r>
        <w:t xml:space="preserve"> </w:t>
      </w:r>
      <w:r>
        <w:t xml:space="preserve">Python provenance could be useful for projects whose data processing is primarily Python, however it would not be able to track data past that boundary.</w:t>
      </w:r>
    </w:p>
    <w:bookmarkEnd w:id="46"/>
    <w:bookmarkStart w:id="47" w:name="recordreplay-tools"/>
    <w:p>
      <w:pPr>
        <w:pStyle w:val="Heading3"/>
      </w:pPr>
      <w:r>
        <w:rPr>
          <w:rStyle w:val="SectionNumber"/>
        </w:rPr>
        <w:t xml:space="preserve">3.3.5</w:t>
      </w:r>
      <w:r>
        <w:tab/>
      </w:r>
      <w:r>
        <w:t xml:space="preserve">Record/replay tools</w:t>
      </w:r>
    </w:p>
    <w:p>
      <w:pPr>
        <w:pStyle w:val="FirstParagraph"/>
      </w:pPr>
      <w:r>
        <w:t xml:space="preserve">Record/replay is a feature where the user executes an unmodified program in a</w:t>
      </w:r>
      <w:r>
        <w:t xml:space="preserve"> </w:t>
      </w:r>
      <w:r>
        <w:t xml:space="preserve">“</w:t>
      </w:r>
      <w:r>
        <w:t xml:space="preserve">record</w:t>
      </w:r>
      <w:r>
        <w:t xml:space="preserve">”</w:t>
      </w:r>
      <w:r>
        <w:t xml:space="preserve"> </w:t>
      </w:r>
      <w:r>
        <w:t xml:space="preserve">environment, which creates a reproducibility package.</w:t>
      </w:r>
      <w:r>
        <w:t xml:space="preserve"> </w:t>
      </w:r>
      <w:r>
        <w:t xml:space="preserve">The reproducibility package can be stored or distributed, and later on, the user can</w:t>
      </w:r>
      <w:r>
        <w:t xml:space="preserve"> </w:t>
      </w:r>
      <w:r>
        <w:t xml:space="preserve">“</w:t>
      </w:r>
      <w:r>
        <w:t xml:space="preserve">replay</w:t>
      </w:r>
      <w:r>
        <w:t xml:space="preserve">”</w:t>
      </w:r>
      <w:r>
        <w:t xml:space="preserve"> </w:t>
      </w:r>
      <w:r>
        <w:t xml:space="preserve">the same execution from it.</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Record/replay</w:t>
            </w:r>
          </w:p>
        </w:tc>
        <w:tc>
          <w:tcPr/>
          <w:p>
            <w:pPr>
              <w:pStyle w:val="Compact"/>
              <w:jc w:val="left"/>
            </w:pPr>
            <w:r>
              <w:t xml:space="preserve">Capture method</w:t>
            </w:r>
          </w:p>
        </w:tc>
      </w:tr>
      <w:tr>
        <w:tc>
          <w:tcPr/>
          <w:p>
            <w:pPr>
              <w:pStyle w:val="Compact"/>
              <w:jc w:val="left"/>
            </w:pPr>
            <w:r>
              <w:t xml:space="preserve">CDE</w:t>
            </w:r>
          </w:p>
        </w:tc>
        <w:tc>
          <w:tcPr/>
          <w:p>
            <w:pPr>
              <w:pStyle w:val="Compact"/>
              <w:jc w:val="left"/>
            </w:pPr>
            <w:r>
              <w:t xml:space="preserve">Ptrace</w:t>
            </w:r>
          </w:p>
        </w:tc>
      </w:tr>
      <w:tr>
        <w:tc>
          <w:tcPr/>
          <w:p>
            <w:pPr>
              <w:pStyle w:val="Compact"/>
              <w:jc w:val="left"/>
            </w:pPr>
            <w:r>
              <w:t xml:space="preserve">RR</w:t>
            </w:r>
          </w:p>
        </w:tc>
        <w:tc>
          <w:tcPr/>
          <w:p>
            <w:pPr>
              <w:pStyle w:val="Compact"/>
              <w:jc w:val="left"/>
            </w:pPr>
            <w:r>
              <w:t xml:space="preserve">Ptrace</w:t>
            </w:r>
          </w:p>
        </w:tc>
      </w:tr>
      <w:tr>
        <w:tc>
          <w:tcPr/>
          <w:p>
            <w:pPr>
              <w:pStyle w:val="Compact"/>
              <w:jc w:val="left"/>
            </w:pPr>
            <w:r>
              <w:t xml:space="preserve">CARE</w:t>
            </w:r>
          </w:p>
        </w:tc>
        <w:tc>
          <w:tcPr/>
          <w:p>
            <w:pPr>
              <w:pStyle w:val="Compact"/>
              <w:jc w:val="left"/>
            </w:pPr>
            <w:r>
              <w:t xml:space="preserve">Ptrace</w:t>
            </w:r>
          </w:p>
        </w:tc>
      </w:tr>
      <w:tr>
        <w:tc>
          <w:tcPr/>
          <w:p>
            <w:pPr>
              <w:pStyle w:val="Compact"/>
              <w:jc w:val="left"/>
            </w:pPr>
            <w:r>
              <w:t xml:space="preserve">Sciunit</w:t>
            </w:r>
          </w:p>
        </w:tc>
        <w:tc>
          <w:tcPr/>
          <w:p>
            <w:pPr>
              <w:pStyle w:val="Compact"/>
              <w:jc w:val="left"/>
            </w:pPr>
            <w:r>
              <w:t xml:space="preserve">Ptrace</w:t>
            </w:r>
          </w:p>
        </w:tc>
      </w:tr>
      <w:tr>
        <w:tc>
          <w:tcPr/>
          <w:p>
            <w:pPr>
              <w:pStyle w:val="Compact"/>
              <w:jc w:val="left"/>
            </w:pPr>
            <w:r>
              <w:t xml:space="preserve">ReproZip/PTU</w:t>
            </w:r>
          </w:p>
        </w:tc>
        <w:tc>
          <w:tcPr/>
          <w:p>
            <w:pPr>
              <w:pStyle w:val="Compact"/>
              <w:jc w:val="left"/>
            </w:pPr>
            <w:r>
              <w:t xml:space="preserve">Ptrace</w:t>
            </w:r>
          </w:p>
        </w:tc>
      </w:tr>
      <w:tr>
        <w:tc>
          <w:tcPr/>
          <w:p>
            <w:pPr>
              <w:pStyle w:val="Compact"/>
              <w:jc w:val="left"/>
            </w:pPr>
            <w:r>
              <w:t xml:space="preserve">OPUS</w:t>
            </w:r>
          </w:p>
        </w:tc>
        <w:tc>
          <w:tcPr/>
          <w:p>
            <w:pPr>
              <w:pStyle w:val="Compact"/>
              <w:jc w:val="left"/>
            </w:pPr>
            <w:r>
              <w:t xml:space="preserve">Library interposition</w:t>
            </w:r>
          </w:p>
        </w:tc>
      </w:tr>
      <w:tr>
        <w:tc>
          <w:tcPr/>
          <w:p>
            <w:pPr>
              <w:pStyle w:val="Compact"/>
              <w:jc w:val="left"/>
            </w:pPr>
            <w:r>
              <w:t xml:space="preserve">PROV-IO</w:t>
            </w:r>
          </w:p>
        </w:tc>
        <w:tc>
          <w:tcPr/>
          <w:p>
            <w:pPr>
              <w:pStyle w:val="Compact"/>
              <w:jc w:val="left"/>
            </w:pPr>
            <w:r>
              <w:t xml:space="preserve">Library interposition</w:t>
            </w:r>
          </w:p>
        </w:tc>
      </w:tr>
      <w:tr>
        <w:tc>
          <w:tcPr/>
          <w:p>
            <w:pPr>
              <w:pStyle w:val="Compact"/>
              <w:jc w:val="left"/>
            </w:pPr>
            <w:r>
              <w:t xml:space="preserve">bpftrace</w:t>
            </w:r>
          </w:p>
        </w:tc>
        <w:tc>
          <w:tcPr/>
          <w:p>
            <w:pPr>
              <w:pStyle w:val="Compact"/>
              <w:jc w:val="left"/>
            </w:pPr>
            <w:r>
              <w:t xml:space="preserve">eBPF</w:t>
            </w:r>
          </w:p>
        </w:tc>
      </w:tr>
      <w:tr>
        <w:tc>
          <w:tcPr/>
          <w:p>
            <w:pPr>
              <w:pStyle w:val="Compact"/>
              <w:jc w:val="left"/>
            </w:pPr>
            <w:r>
              <w:t xml:space="preserve">PASS</w:t>
            </w:r>
          </w:p>
        </w:tc>
        <w:tc>
          <w:tcPr/>
          <w:p>
            <w:pPr>
              <w:pStyle w:val="Compact"/>
              <w:jc w:val="left"/>
            </w:pPr>
            <w:r>
              <w:t xml:space="preserve">Kern. mod.</w:t>
            </w:r>
          </w:p>
        </w:tc>
      </w:tr>
      <w:tr>
        <w:tc>
          <w:tcPr/>
          <w:p>
            <w:pPr>
              <w:pStyle w:val="Compact"/>
              <w:jc w:val="left"/>
            </w:pPr>
            <w:r>
              <w:t xml:space="preserve">CamFlow</w:t>
            </w:r>
          </w:p>
        </w:tc>
        <w:tc>
          <w:tcPr/>
          <w:p>
            <w:pPr>
              <w:pStyle w:val="Compact"/>
              <w:jc w:val="left"/>
            </w:pPr>
            <w:r>
              <w:t xml:space="preserve">Kern. mod.</w:t>
            </w:r>
          </w:p>
        </w:tc>
      </w:tr>
    </w:tbl>
    <w:p>
      <w:pPr>
        <w:pStyle w:val="BodyText"/>
      </w:pPr>
      <w:r>
        <w:t xml:space="preserve">While record/replay is a convenient user-interface, none of the implementations are fast and run without super user.</w:t>
      </w:r>
      <w:r>
        <w:t xml:space="preserve"> </w:t>
      </w:r>
      <w:r>
        <w:t xml:space="preserve">Scientific users rarely have super user privileges on shared hardware; root</w:t>
      </w:r>
      <w:r>
        <w:t xml:space="preserve"> </w:t>
      </w:r>
      <w:r>
        <w:t xml:space="preserve">“</w:t>
      </w:r>
      <w:r>
        <w:t xml:space="preserve">in container</w:t>
      </w:r>
      <w:r>
        <w:t xml:space="preserve">”</w:t>
      </w:r>
      <w:r>
        <w:t xml:space="preserve"> </w:t>
      </w:r>
      <w:r>
        <w:t xml:space="preserve">is not strong enough to install kernel modules or eBPF programs.</w:t>
      </w:r>
      <w:r>
        <w:t xml:space="preserve"> </w:t>
      </w:r>
      <w:r>
        <w:t xml:space="preserve">The overhead of conventional record/replay tools is often more than 2x, making them infeasible to use in many cases.</w:t>
      </w:r>
    </w:p>
    <w:p>
      <w:pPr>
        <w:pStyle w:val="BodyText"/>
      </w:pPr>
      <w:r>
        <w:t xml:space="preserve">One might argue that record/replay</w:t>
      </w:r>
      <w:r>
        <w:t xml:space="preserve"> </w:t>
      </w:r>
      <w:r>
        <w:t xml:space="preserve">“</w:t>
      </w:r>
      <w:r>
        <w:t xml:space="preserve">allows</w:t>
      </w:r>
      <w:r>
        <w:t xml:space="preserve">”</w:t>
      </w:r>
      <w:r>
        <w:t xml:space="preserve"> </w:t>
      </w:r>
      <w:r>
        <w:t xml:space="preserve">users to be messy and merely preserves the mess perfectly</w:t>
      </w:r>
      <w:r>
        <w:t xml:space="preserve"> </w:t>
      </w:r>
      <w:r>
        <w:t xml:space="preserve">(Douglas Thain 2015)</w:t>
      </w:r>
      <w:r>
        <w:t xml:space="preserve">.</w:t>
      </w:r>
      <w:r>
        <w:t xml:space="preserve"> </w:t>
      </w:r>
      <w:r>
        <w:t xml:space="preserve">Simply copying the entire filesystem, for example, may work (the operating conditions are likely contained in the filesystem), but an entire filesystem inconvenient to transfer, compose, and execute.</w:t>
      </w:r>
      <w:r>
        <w:t xml:space="preserve"> </w:t>
      </w:r>
      <w:r>
        <w:t xml:space="preserve">An ideal record/replay tool should allow users to introspect and simplify their computational environment.</w:t>
      </w:r>
    </w:p>
    <w:p>
      <w:pPr>
        <w:pStyle w:val="Compact"/>
        <w:numPr>
          <w:ilvl w:val="0"/>
          <w:numId w:val="1009"/>
        </w:numPr>
      </w:pPr>
      <w:r>
        <w:t xml:space="preserve">Preserving the mess or encouraging cleanliness (Thaine)</w:t>
      </w:r>
    </w:p>
    <w:bookmarkEnd w:id="47"/>
    <w:bookmarkStart w:id="48" w:name="virtualization-and-containerization"/>
    <w:p>
      <w:pPr>
        <w:pStyle w:val="Heading3"/>
      </w:pPr>
      <w:r>
        <w:rPr>
          <w:rStyle w:val="SectionNumber"/>
        </w:rPr>
        <w:t xml:space="preserve">3.3.6</w:t>
      </w:r>
      <w:r>
        <w:tab/>
      </w:r>
      <w:r>
        <w:t xml:space="preserve">Virtualization and containerization</w:t>
      </w:r>
    </w:p>
    <w:p>
      <w:pPr>
        <w:pStyle w:val="FirstParagraph"/>
      </w:pPr>
      <w:r>
        <w:t xml:space="preserve">System virtualization facilitates reproducibility by encapsulating an entire system (and thus its operating conditions) in a distributable sandbox.</w:t>
      </w:r>
      <w:r>
        <w:t xml:space="preserve"> </w:t>
      </w:r>
      <w:r>
        <w:t xml:space="preserve">System virtualization drivers include QEMU, VirtualBox, VMWare Fusion, Parallels for Mac, etc.</w:t>
      </w:r>
    </w:p>
    <w:p>
      <w:pPr>
        <w:pStyle w:val="BodyText"/>
      </w:pPr>
      <w:r>
        <w:t xml:space="preserve">Containerization is similar, but it only encapsulates Linux userspace, reusing the hosts Linux kernel.</w:t>
      </w:r>
      <w:r>
        <w:t xml:space="preserve"> </w:t>
      </w:r>
      <w:r>
        <w:t xml:space="preserve">On non-Linux hosts, the container is nested inside a virtualized Linux instance.</w:t>
      </w:r>
      <w:r>
        <w:t xml:space="preserve"> </w:t>
      </w:r>
      <w:r>
        <w:t xml:space="preserve">Containerization has weaker isolation than system virtualization but better performance and lower storage.</w:t>
      </w:r>
      <w:r>
        <w:t xml:space="preserve"> </w:t>
      </w:r>
      <w:r>
        <w:t xml:space="preserve">Container engines include Docker, Podman, and Singularity.</w:t>
      </w:r>
    </w:p>
    <w:p>
      <w:pPr>
        <w:pStyle w:val="BodyText"/>
      </w:pPr>
      <w:r>
        <w:t xml:space="preserve">In either case, either the system image has to be distributed (VM image, Docker image, etc.) or instructions to build the system image (e.g.,</w:t>
      </w:r>
      <w:r>
        <w:t xml:space="preserve"> </w:t>
      </w:r>
      <w:r>
        <w:rPr>
          <w:rStyle w:val="VerbatimChar"/>
        </w:rPr>
        <w:t xml:space="preserve">Vagrantfile</w:t>
      </w:r>
      <w:r>
        <w:t xml:space="preserve">,</w:t>
      </w:r>
      <w:r>
        <w:t xml:space="preserve"> </w:t>
      </w:r>
      <w:r>
        <w:rPr>
          <w:rStyle w:val="VerbatimChar"/>
        </w:rPr>
        <w:t xml:space="preserve">Dockerfile</w:t>
      </w:r>
      <w:r>
        <w:t xml:space="preserve">,</w:t>
      </w:r>
      <w:r>
        <w:t xml:space="preserve"> </w:t>
      </w:r>
      <w:r>
        <w:rPr>
          <w:rStyle w:val="VerbatimChar"/>
        </w:rPr>
        <w:t xml:space="preserve">Singularityfile</w:t>
      </w:r>
      <w:r>
        <w:t xml:space="preserve">, etc.).</w:t>
      </w:r>
    </w:p>
    <w:p>
      <w:pPr>
        <w:pStyle w:val="Compact"/>
        <w:numPr>
          <w:ilvl w:val="0"/>
          <w:numId w:val="1010"/>
        </w:numPr>
      </w:pPr>
      <w:r>
        <w:t xml:space="preserve">Distributing the image is difficult because it is large, expensive to store, and expensive to transfer.</w:t>
      </w:r>
      <w:r>
        <w:t xml:space="preserve"> </w:t>
      </w:r>
      <w:r>
        <w:t xml:space="preserve">DockerHub, a popular storage space for Docker images, recently changed their policy to remove images that had not been pulled or pushed in the past six months</w:t>
      </w:r>
      <w:r>
        <w:t xml:space="preserve"> </w:t>
      </w:r>
      <w:r>
        <w:t xml:space="preserve">(de Morlhon 2020a)</w:t>
      </w:r>
      <w:r>
        <w:t xml:space="preserve">, although enforcement was delayed until 2021</w:t>
      </w:r>
      <w:r>
        <w:t xml:space="preserve"> </w:t>
      </w:r>
      <w:r>
        <w:t xml:space="preserve">(de Morlhon 2020b)</w:t>
      </w:r>
      <w:r>
        <w:t xml:space="preserve">.</w:t>
      </w:r>
    </w:p>
    <w:p>
      <w:pPr>
        <w:pStyle w:val="Compact"/>
        <w:numPr>
          <w:ilvl w:val="0"/>
          <w:numId w:val="1010"/>
        </w:numPr>
      </w:pPr>
      <w:r>
        <w:t xml:space="preserve">The build instructions, although easy to distribute, require</w:t>
      </w:r>
      <w:r>
        <w:t xml:space="preserve"> </w:t>
      </w:r>
      <w:r>
        <w:rPr>
          <w:i/>
          <w:iCs/>
        </w:rPr>
        <w:t xml:space="preserve">another</w:t>
      </w:r>
      <w:r>
        <w:t xml:space="preserve"> </w:t>
      </w:r>
      <w:r>
        <w:t xml:space="preserve">reproducibility strategy to be reproducible.</w:t>
      </w:r>
      <w:r>
        <w:t xml:space="preserve"> </w:t>
      </w:r>
      <w:r>
        <w:t xml:space="preserve">It simply redirects the problem of CSE irreproducibility to Docker image irreproducibility.</w:t>
      </w:r>
    </w:p>
    <w:bookmarkEnd w:id="48"/>
    <w:bookmarkEnd w:id="49"/>
    <w:bookmarkEnd w:id="50"/>
    <w:bookmarkStart w:id="51" w:name="my-research-strategy"/>
    <w:p>
      <w:pPr>
        <w:pStyle w:val="Heading1"/>
      </w:pPr>
      <w:r>
        <w:rPr>
          <w:rStyle w:val="SectionNumber"/>
        </w:rPr>
        <w:t xml:space="preserve">4</w:t>
      </w:r>
      <w:r>
        <w:tab/>
      </w:r>
      <w:r>
        <w:t xml:space="preserve">My research strategy</w:t>
      </w:r>
    </w:p>
    <w:p>
      <w:pPr>
        <w:pStyle w:val="FirstParagraph"/>
      </w:pPr>
      <w:r>
        <w:t xml:space="preserve">Good research begins by investigating the empirical evidence and investigating the theoretical underpinnings.</w:t>
      </w:r>
      <w:r>
        <w:t xml:space="preserve"> </w:t>
      </w:r>
      <w:r>
        <w:t xml:space="preserve">By looking at both, one can begin to identify the problems and solutions.</w:t>
      </w:r>
      <w:r>
        <w:t xml:space="preserve"> </w:t>
      </w:r>
      <w:r>
        <w:t xml:space="preserve">Empirical study of reproducibility should include not only the rate of ir/reproducibility but the reasons for irreproducibility.</w:t>
      </w:r>
      <w:r>
        <w:t xml:space="preserve"> </w:t>
      </w:r>
      <w:r>
        <w:t xml:space="preserve">Future work should target only the most common reasons.</w:t>
      </w:r>
    </w:p>
    <w:p>
      <w:pPr>
        <w:pStyle w:val="BodyText"/>
      </w:pPr>
      <w:r>
        <w:t xml:space="preserve">A theoretical framework is necessary because there are so many approaches that address reproducibility, it is useful to say what this approach does that the others do not.</w:t>
      </w:r>
      <w:r>
        <w:t xml:space="preserve"> </w:t>
      </w:r>
      <w:r>
        <w:t xml:space="preserve">I.e., in what sense is the approach</w:t>
      </w:r>
      <w:r>
        <w:t xml:space="preserve"> </w:t>
      </w:r>
      <w:r>
        <w:t xml:space="preserve">“</w:t>
      </w:r>
      <w:r>
        <w:t xml:space="preserve">more</w:t>
      </w:r>
      <w:r>
        <w:t xml:space="preserve">”</w:t>
      </w:r>
      <w:r>
        <w:t xml:space="preserve"> </w:t>
      </w:r>
      <w:r>
        <w:t xml:space="preserve">reproducible?</w:t>
      </w:r>
    </w:p>
    <w:p>
      <w:pPr>
        <w:pStyle w:val="BodyText"/>
      </w:pPr>
      <w:r>
        <w:t xml:space="preserve">System-level provenance can identify the relevant parts of the software environment</w:t>
      </w:r>
      <w:r>
        <w:t xml:space="preserve"> </w:t>
      </w:r>
      <w:r>
        <w:t xml:space="preserve">“</w:t>
      </w:r>
      <w:r>
        <w:t xml:space="preserve">for free</w:t>
      </w:r>
      <w:r>
        <w:t xml:space="preserve">”</w:t>
      </w:r>
      <w:r>
        <w:t xml:space="preserve">.</w:t>
      </w:r>
      <w:r>
        <w:t xml:space="preserve"> </w:t>
      </w:r>
      <w:r>
        <w:t xml:space="preserve">Once the provenance is produced, one can easily create a replication package that can be replayed on any hardware-compatible machine, resembling a record/replay tool for arbitrary programs.</w:t>
      </w:r>
    </w:p>
    <w:p>
      <w:pPr>
        <w:pStyle w:val="BodyText"/>
      </w:pPr>
      <w:r>
        <w:t xml:space="preserve">A record/replay tool addresses achieves a high-level of reproducibility, according to our theoretical framework, with a little amount of effort.</w:t>
      </w:r>
      <w:r>
        <w:t xml:space="preserve"> </w:t>
      </w:r>
      <w:r>
        <w:t xml:space="preserve">Almost no instruction is necessary to reproduce the software.</w:t>
      </w:r>
      <w:r>
        <w:t xml:space="preserve"> </w:t>
      </w:r>
      <w:r>
        <w:t xml:space="preserve">Not only does record/replay increase reproducibility, it addresses one of the most common reasons against sharing source (difficulty of answering questions about how to reproduce the software).</w:t>
      </w:r>
    </w:p>
    <w:p>
      <w:pPr>
        <w:pStyle w:val="BodyText"/>
      </w:pPr>
      <w:r>
        <w:t xml:space="preserve">There are numerous applications for provenance (workflow conversion, incremental computation),</w:t>
      </w:r>
      <w:r>
        <w:t xml:space="preserve"> </w:t>
      </w:r>
      <w:r>
        <w:t xml:space="preserve"> </w:t>
      </w:r>
      <w:r>
        <w:t xml:space="preserve">so the provenance tracer should connect with existing provenance standards and provenance applications to form a suite of related tools.</w:t>
      </w:r>
    </w:p>
    <w:p>
      <w:pPr>
        <w:pStyle w:val="BodyText"/>
      </w:pPr>
      <w:r>
        <w:t xml:space="preserve">Finally, the provenance tracer should be validated through user studies or case studies.</w:t>
      </w:r>
      <w:r>
        <w:t xml:space="preserve"> </w:t>
      </w:r>
      <w:r>
        <w:t xml:space="preserve">Unexpected problems and invalidated assumptions often arise when trying to convert research into practice</w:t>
      </w:r>
      <w:r>
        <w:t xml:space="preserve"> </w:t>
      </w:r>
      <w:r>
        <w:t xml:space="preserve">(Bessey et al. 2010)</w:t>
      </w:r>
      <w:r>
        <w:t xml:space="preserve">.</w:t>
      </w:r>
      <w:r>
        <w:t xml:space="preserve"> </w:t>
      </w:r>
      <w:r>
        <w:t xml:space="preserve">Trying to apply to practice will make my research more impactful and give me novel problems and assumption-sets to operate in.</w:t>
      </w:r>
      <w:r>
        <w:t xml:space="preserve"> </w:t>
      </w:r>
    </w:p>
    <w:bookmarkEnd w:id="51"/>
    <w:bookmarkStart w:id="61" w:name="completed-work"/>
    <w:p>
      <w:pPr>
        <w:pStyle w:val="Heading1"/>
      </w:pPr>
      <w:r>
        <w:rPr>
          <w:rStyle w:val="SectionNumber"/>
        </w:rPr>
        <w:t xml:space="preserve">5</w:t>
      </w:r>
      <w:r>
        <w:tab/>
      </w:r>
      <w:r>
        <w:t xml:space="preserve">Completed work</w:t>
      </w:r>
    </w:p>
    <w:p>
      <w:pPr>
        <w:pStyle w:val="FirstParagraph"/>
      </w:pPr>
      <w:r>
        <w:t xml:space="preserve">In this section, I outline my completed work on this subject.</w:t>
      </w:r>
    </w:p>
    <w:bookmarkStart w:id="57" w:name="lifetime-of-workflows-in-sample"/>
    <w:p>
      <w:pPr>
        <w:pStyle w:val="Heading2"/>
      </w:pPr>
      <w:r>
        <w:rPr>
          <w:rStyle w:val="SectionNumber"/>
        </w:rPr>
        <w:t xml:space="preserve">5.1</w:t>
      </w:r>
      <w:r>
        <w:tab/>
      </w:r>
      <w:r>
        <w:t xml:space="preserve">Lifetime of workflows in sample</w:t>
      </w:r>
    </w:p>
    <w:p>
      <w:pPr>
        <w:pStyle w:val="FirstParagraph"/>
      </w:pPr>
      <w:r>
        <w:t xml:space="preserve">We attempted to run workflows in two large registries: Snakemake Workflow Catalog (SWC) and nf-core</w:t>
      </w:r>
      <w:r>
        <w:t xml:space="preserve"> </w:t>
      </w:r>
      <w:r>
        <w:t xml:space="preserve">(Grayson et al. 2023)</w:t>
      </w:r>
      <w:r>
        <w:t xml:space="preserve">.</w:t>
      </w:r>
      <w:r>
        <w:t xml:space="preserve"> </w:t>
      </w:r>
      <w:r>
        <w:t xml:space="preserve">Of these, about half had at least one non-crashing revision tbl. 5.</w:t>
      </w:r>
      <w:r>
        <w:t xml:space="preserve"> </w:t>
      </w:r>
      <w:r>
        <w:t xml:space="preserve">For those whose most recent revision did not crash, we looked how far back we could go before we found a crashing revision.</w:t>
      </w:r>
      <w:r>
        <w:t xml:space="preserve"> </w:t>
      </w:r>
      <w:r>
        <w:t xml:space="preserve">Evaluating old software today approximates the failure rate of evaluating today’s software in the future.</w:t>
      </w:r>
      <w:r>
        <w:t xml:space="preserve"> </w:t>
      </w:r>
      <w:r>
        <w:t xml:space="preserve">We found that workflows had a median failure rate of a couple of years fig. 2.</w:t>
      </w:r>
    </w:p>
    <w:bookmarkStart w:id="52" w:name="tbl:crashes"/>
    <w:p>
      <w:pPr>
        <w:pStyle w:val="TableCaption"/>
      </w:pPr>
      <w:r>
        <w:t xml:space="preserve">Table 5: Statistics on workflows in SWC and nf-core.</w:t>
      </w:r>
    </w:p>
    <w:tbl>
      <w:tblPr>
        <w:tblStyle w:val="Table"/>
        <w:tblW w:type="pct" w:w="5000"/>
        <w:jc w:val="left"/>
        <w:tblLayout w:type="fixed"/>
        <w:tblLook w:firstRow="1" w:lastRow="0" w:firstColumn="0" w:lastColumn="0" w:noHBand="0" w:noVBand="0" w:val="0020"/>
        <w:tblCaption w:val="Table 5: Statistics on workflows in SWC and nf-core."/>
      </w:tblPr>
      <w:tblGrid>
        <w:gridCol w:w="5913"/>
        <w:gridCol w:w="528"/>
        <w:gridCol w:w="528"/>
        <w:gridCol w:w="950"/>
      </w:tblGrid>
      <w:tr>
        <w:trPr>
          <w:tblHeader w:val="on"/>
        </w:trPr>
        <w:tc>
          <w:tcPr/>
          <w:p>
            <w:pPr>
              <w:pStyle w:val="Compact"/>
              <w:jc w:val="left"/>
            </w:pPr>
            <w:r>
              <w:t xml:space="preserve">Quantity</w:t>
            </w:r>
          </w:p>
        </w:tc>
        <w:tc>
          <w:tcPr/>
          <w:p>
            <w:pPr>
              <w:pStyle w:val="Compact"/>
              <w:jc w:val="left"/>
            </w:pPr>
            <w:r>
              <w:t xml:space="preserve">All</w:t>
            </w:r>
          </w:p>
        </w:tc>
        <w:tc>
          <w:tcPr/>
          <w:p>
            <w:pPr>
              <w:pStyle w:val="Compact"/>
              <w:jc w:val="left"/>
            </w:pPr>
            <w:r>
              <w:t xml:space="preserve">SWC</w:t>
            </w:r>
          </w:p>
        </w:tc>
        <w:tc>
          <w:tcPr/>
          <w:p>
            <w:pPr>
              <w:pStyle w:val="Compact"/>
              <w:jc w:val="left"/>
            </w:pPr>
            <w:r>
              <w:t xml:space="preserve">nf-core</w:t>
            </w:r>
          </w:p>
        </w:tc>
      </w:tr>
      <w:tr>
        <w:tc>
          <w:tcPr/>
          <w:p>
            <w:pPr>
              <w:pStyle w:val="Compact"/>
              <w:jc w:val="left"/>
            </w:pPr>
            <w:r>
              <w:t xml:space="preserve"># workflows</w:t>
            </w:r>
          </w:p>
        </w:tc>
        <w:tc>
          <w:tcPr/>
          <w:p>
            <w:pPr>
              <w:pStyle w:val="Compact"/>
              <w:jc w:val="left"/>
            </w:pPr>
            <w:r>
              <w:t xml:space="preserve">101</w:t>
            </w:r>
          </w:p>
        </w:tc>
        <w:tc>
          <w:tcPr/>
          <w:p>
            <w:pPr>
              <w:pStyle w:val="Compact"/>
              <w:jc w:val="left"/>
            </w:pPr>
            <w:r>
              <w:t xml:space="preserve">53</w:t>
            </w:r>
          </w:p>
        </w:tc>
        <w:tc>
          <w:tcPr/>
          <w:p>
            <w:pPr>
              <w:pStyle w:val="Compact"/>
              <w:jc w:val="left"/>
            </w:pPr>
            <w:r>
              <w:t xml:space="preserve">48</w:t>
            </w:r>
          </w:p>
        </w:tc>
      </w:tr>
      <w:tr>
        <w:tc>
          <w:tcPr/>
          <w:p>
            <w:pPr>
              <w:pStyle w:val="Compact"/>
              <w:jc w:val="left"/>
            </w:pPr>
            <w:r>
              <w:t xml:space="preserve"># revisions</w:t>
            </w:r>
          </w:p>
        </w:tc>
        <w:tc>
          <w:tcPr/>
          <w:p>
            <w:pPr>
              <w:pStyle w:val="Compact"/>
              <w:jc w:val="left"/>
            </w:pPr>
            <w:r>
              <w:t xml:space="preserve">584</w:t>
            </w:r>
          </w:p>
        </w:tc>
        <w:tc>
          <w:tcPr/>
          <w:p>
            <w:pPr>
              <w:pStyle w:val="Compact"/>
              <w:jc w:val="left"/>
            </w:pPr>
            <w:r>
              <w:t xml:space="preserve">333</w:t>
            </w:r>
          </w:p>
        </w:tc>
        <w:tc>
          <w:tcPr/>
          <w:p>
            <w:pPr>
              <w:pStyle w:val="Compact"/>
              <w:jc w:val="left"/>
            </w:pPr>
            <w:r>
              <w:t xml:space="preserve">251</w:t>
            </w:r>
          </w:p>
        </w:tc>
      </w:tr>
      <w:tr>
        <w:tc>
          <w:tcPr/>
          <w:p>
            <w:pPr>
              <w:pStyle w:val="Compact"/>
              <w:jc w:val="left"/>
            </w:pPr>
            <w:r>
              <w:t xml:space="preserve">% of revisions with no crash</w:t>
            </w:r>
          </w:p>
        </w:tc>
        <w:tc>
          <w:tcPr/>
          <w:p>
            <w:pPr>
              <w:pStyle w:val="Compact"/>
              <w:jc w:val="left"/>
            </w:pPr>
            <w:r>
              <w:t xml:space="preserve">28%</w:t>
            </w:r>
          </w:p>
        </w:tc>
        <w:tc>
          <w:tcPr/>
          <w:p>
            <w:pPr>
              <w:pStyle w:val="Compact"/>
              <w:jc w:val="left"/>
            </w:pPr>
            <w:r>
              <w:t xml:space="preserve">11%</w:t>
            </w:r>
          </w:p>
        </w:tc>
        <w:tc>
          <w:tcPr/>
          <w:p>
            <w:pPr>
              <w:pStyle w:val="Compact"/>
              <w:jc w:val="left"/>
            </w:pPr>
            <w:r>
              <w:t xml:space="preserve">51%</w:t>
            </w:r>
          </w:p>
        </w:tc>
      </w:tr>
      <w:tr>
        <w:tc>
          <w:tcPr/>
          <w:p>
            <w:pPr>
              <w:pStyle w:val="Compact"/>
              <w:jc w:val="left"/>
            </w:pPr>
            <w:r>
              <w:t xml:space="preserve">% of workflows with at least one non-crashing revision</w:t>
            </w:r>
          </w:p>
        </w:tc>
        <w:tc>
          <w:tcPr/>
          <w:p>
            <w:pPr>
              <w:pStyle w:val="Compact"/>
              <w:jc w:val="left"/>
            </w:pPr>
            <w:r>
              <w:t xml:space="preserve">53%</w:t>
            </w:r>
          </w:p>
        </w:tc>
        <w:tc>
          <w:tcPr/>
          <w:p>
            <w:pPr>
              <w:pStyle w:val="Compact"/>
              <w:jc w:val="left"/>
            </w:pPr>
            <w:r>
              <w:t xml:space="preserve">23%</w:t>
            </w:r>
          </w:p>
        </w:tc>
        <w:tc>
          <w:tcPr/>
          <w:p>
            <w:pPr>
              <w:pStyle w:val="Compact"/>
              <w:jc w:val="left"/>
            </w:pPr>
            <w:r>
              <w:t xml:space="preserve">88%</w:t>
            </w:r>
          </w:p>
        </w:tc>
      </w:tr>
    </w:tbl>
    <w:bookmarkEnd w:id="52"/>
    <w:p>
      <w:pPr>
        <w:pStyle w:val="CaptionedFigure"/>
      </w:pPr>
      <w:r>
        <w:drawing>
          <wp:inline>
            <wp:extent cx="2667000" cy="2178827"/>
            <wp:effectExtent b="0" l="0" r="0" t="0"/>
            <wp:docPr descr="Figure 2: Survival curve analysis of workflows" title="" id="54" name="Picture"/>
            <a:graphic>
              <a:graphicData uri="http://schemas.openxmlformats.org/drawingml/2006/picture">
                <pic:pic>
                  <pic:nvPicPr>
                    <pic:cNvPr descr="SurvivalCurveUpdated.png" id="55" name="Picture"/>
                    <pic:cNvPicPr>
                      <a:picLocks noChangeArrowheads="1" noChangeAspect="1"/>
                    </pic:cNvPicPr>
                  </pic:nvPicPr>
                  <pic:blipFill>
                    <a:blip r:embed="rId53"/>
                    <a:stretch>
                      <a:fillRect/>
                    </a:stretch>
                  </pic:blipFill>
                  <pic:spPr bwMode="auto">
                    <a:xfrm>
                      <a:off x="0" y="0"/>
                      <a:ext cx="2667000" cy="2178827"/>
                    </a:xfrm>
                    <a:prstGeom prst="rect">
                      <a:avLst/>
                    </a:prstGeom>
                    <a:noFill/>
                    <a:ln w="9525">
                      <a:noFill/>
                      <a:headEnd/>
                      <a:tailEnd/>
                    </a:ln>
                  </pic:spPr>
                </pic:pic>
              </a:graphicData>
            </a:graphic>
          </wp:inline>
        </w:drawing>
      </w:r>
    </w:p>
    <w:p>
      <w:pPr>
        <w:pStyle w:val="ImageCaption"/>
      </w:pPr>
      <w:r>
        <w:t xml:space="preserve">Figure 2: Survival curve analysis of workflows</w:t>
      </w:r>
    </w:p>
    <w:p>
      <w:pPr>
        <w:pStyle w:val="BodyText"/>
      </w:pPr>
      <w:r>
        <w:t xml:space="preserve">When the workflows failed, we classified the crash reason tbl. 6.</w:t>
      </w:r>
      <w:r>
        <w:t xml:space="preserve"> </w:t>
      </w:r>
      <w:r>
        <w:t xml:space="preserve">The most common kind of crash is simply a missing input.</w:t>
      </w:r>
      <w:r>
        <w:t xml:space="preserve"> </w:t>
      </w:r>
      <w:r>
        <w:t xml:space="preserve">The workflow manager could not help in this case, because the missing input is not an internal node, but a top-level node, where the workflow manager would read a file from the outside system.</w:t>
      </w:r>
      <w:r>
        <w:t xml:space="preserve"> </w:t>
      </w:r>
      <w:r>
        <w:t xml:space="preserve">Provenance tracing could help automatically upload inputs that a workflow needs to run.</w:t>
      </w:r>
    </w:p>
    <w:bookmarkStart w:id="56" w:name="tbl:wf-failures"/>
    <w:p>
      <w:pPr>
        <w:pStyle w:val="TableCaption"/>
      </w:pPr>
      <w:r>
        <w:t xml:space="preserve">Table 6: Workflow failure reasons</w:t>
      </w:r>
    </w:p>
    <w:tbl>
      <w:tblPr>
        <w:tblStyle w:val="Table"/>
        <w:tblW w:type="auto" w:w="0"/>
        <w:jc w:val="left"/>
        <w:tblLook w:firstRow="1" w:lastRow="0" w:firstColumn="0" w:lastColumn="0" w:noHBand="0" w:noVBand="0" w:val="0020"/>
        <w:tblCaption w:val="Table 6: Workflow failure reasons"/>
      </w:tblPr>
      <w:tblGrid>
        <w:gridCol w:w="3960"/>
        <w:gridCol w:w="3960"/>
      </w:tblGrid>
      <w:tr>
        <w:trPr>
          <w:tblHeader w:val="on"/>
        </w:trPr>
        <w:tc>
          <w:tcPr/>
          <w:p>
            <w:pPr>
              <w:pStyle w:val="Compact"/>
              <w:jc w:val="left"/>
            </w:pPr>
            <w:r>
              <w:t xml:space="preserve">Kind of crash</w:t>
            </w:r>
          </w:p>
        </w:tc>
        <w:tc>
          <w:tcPr/>
          <w:p>
            <w:pPr>
              <w:pStyle w:val="Compact"/>
              <w:jc w:val="left"/>
            </w:pPr>
            <w:r>
              <w:t xml:space="preserve">Proportion</w:t>
            </w:r>
          </w:p>
        </w:tc>
      </w:tr>
      <w:tr>
        <w:tc>
          <w:tcPr/>
          <w:p>
            <w:pPr>
              <w:pStyle w:val="Compact"/>
              <w:jc w:val="left"/>
            </w:pPr>
            <w:r>
              <w:t xml:space="preserve">Missing input</w:t>
            </w:r>
          </w:p>
        </w:tc>
        <w:tc>
          <w:tcPr/>
          <w:p>
            <w:pPr>
              <w:pStyle w:val="Compact"/>
              <w:jc w:val="left"/>
            </w:pPr>
            <w:r>
              <w:t xml:space="preserve">32%</w:t>
            </w:r>
          </w:p>
        </w:tc>
      </w:tr>
      <w:tr>
        <w:tc>
          <w:tcPr/>
          <w:p>
            <w:pPr>
              <w:pStyle w:val="Compact"/>
              <w:jc w:val="left"/>
            </w:pPr>
            <w:r>
              <w:t xml:space="preserve">Conda environment unsolvable</w:t>
            </w:r>
          </w:p>
        </w:tc>
        <w:tc>
          <w:tcPr/>
          <w:p>
            <w:pPr>
              <w:pStyle w:val="Compact"/>
              <w:jc w:val="left"/>
            </w:pPr>
            <w:r>
              <w:t xml:space="preserve">11%</w:t>
            </w:r>
          </w:p>
        </w:tc>
      </w:tr>
      <w:tr>
        <w:tc>
          <w:tcPr/>
          <w:p>
            <w:pPr>
              <w:pStyle w:val="Compact"/>
              <w:jc w:val="left"/>
            </w:pPr>
            <w:r>
              <w:t xml:space="preserve">Unclassified reason</w:t>
            </w:r>
          </w:p>
        </w:tc>
        <w:tc>
          <w:tcPr/>
          <w:p>
            <w:pPr>
              <w:pStyle w:val="Compact"/>
              <w:jc w:val="left"/>
            </w:pPr>
            <w:r>
              <w:t xml:space="preserve">8%</w:t>
            </w:r>
          </w:p>
        </w:tc>
      </w:tr>
      <w:tr>
        <w:tc>
          <w:tcPr/>
          <w:p>
            <w:pPr>
              <w:pStyle w:val="Compact"/>
              <w:jc w:val="left"/>
            </w:pPr>
            <w:r>
              <w:t xml:space="preserve">Timeout reached</w:t>
            </w:r>
          </w:p>
        </w:tc>
        <w:tc>
          <w:tcPr/>
          <w:p>
            <w:pPr>
              <w:pStyle w:val="Compact"/>
              <w:jc w:val="left"/>
            </w:pPr>
            <w:r>
              <w:t xml:space="preserve">7%</w:t>
            </w:r>
          </w:p>
        </w:tc>
      </w:tr>
      <w:tr>
        <w:tc>
          <w:tcPr/>
          <w:p>
            <w:pPr>
              <w:pStyle w:val="Compact"/>
              <w:jc w:val="left"/>
            </w:pPr>
            <w:r>
              <w:t xml:space="preserve">Container error</w:t>
            </w:r>
          </w:p>
        </w:tc>
        <w:tc>
          <w:tcPr/>
          <w:p>
            <w:pPr>
              <w:pStyle w:val="Compact"/>
              <w:jc w:val="left"/>
            </w:pPr>
            <w:r>
              <w:t xml:space="preserve">6%</w:t>
            </w:r>
          </w:p>
        </w:tc>
      </w:tr>
      <w:tr>
        <w:tc>
          <w:tcPr/>
          <w:p>
            <w:pPr>
              <w:pStyle w:val="Compact"/>
              <w:jc w:val="left"/>
            </w:pPr>
            <w:r>
              <w:t xml:space="preserve">Other (workflow script)</w:t>
            </w:r>
          </w:p>
        </w:tc>
        <w:tc>
          <w:tcPr/>
          <w:p>
            <w:pPr>
              <w:pStyle w:val="Compact"/>
              <w:jc w:val="left"/>
            </w:pPr>
            <w:r>
              <w:t xml:space="preserve">6%</w:t>
            </w:r>
          </w:p>
        </w:tc>
      </w:tr>
      <w:tr>
        <w:tc>
          <w:tcPr/>
          <w:p>
            <w:pPr>
              <w:pStyle w:val="Compact"/>
              <w:jc w:val="left"/>
            </w:pPr>
            <w:r>
              <w:t xml:space="preserve">Other (containerized task)</w:t>
            </w:r>
          </w:p>
        </w:tc>
        <w:tc>
          <w:tcPr/>
          <w:p>
            <w:pPr>
              <w:pStyle w:val="Compact"/>
              <w:jc w:val="left"/>
            </w:pPr>
            <w:r>
              <w:t xml:space="preserve">1%</w:t>
            </w:r>
          </w:p>
        </w:tc>
      </w:tr>
      <w:tr>
        <w:tc>
          <w:tcPr/>
          <w:p>
            <w:pPr>
              <w:pStyle w:val="Compact"/>
              <w:jc w:val="left"/>
            </w:pPr>
            <w:r>
              <w:t xml:space="preserve">Network resource changed</w:t>
            </w:r>
          </w:p>
        </w:tc>
        <w:tc>
          <w:tcPr/>
          <w:p>
            <w:pPr>
              <w:pStyle w:val="Compact"/>
              <w:jc w:val="left"/>
            </w:pPr>
            <w:r>
              <w:t xml:space="preserve">1%</w:t>
            </w:r>
          </w:p>
        </w:tc>
      </w:tr>
      <w:tr>
        <w:tc>
          <w:tcPr/>
          <w:p>
            <w:pPr>
              <w:pStyle w:val="Compact"/>
              <w:jc w:val="left"/>
            </w:pPr>
            <w:r>
              <w:t xml:space="preserve">Missing dependency</w:t>
            </w:r>
          </w:p>
        </w:tc>
        <w:tc>
          <w:tcPr/>
          <w:p>
            <w:pPr>
              <w:pStyle w:val="Compact"/>
              <w:jc w:val="left"/>
            </w:pPr>
            <w:r>
              <w:t xml:space="preserve">0.5%</w:t>
            </w:r>
          </w:p>
        </w:tc>
      </w:tr>
      <w:tr>
        <w:tc>
          <w:tcPr/>
          <w:p>
            <w:pPr>
              <w:pStyle w:val="Compact"/>
              <w:jc w:val="left"/>
            </w:pPr>
            <w:r>
              <w:t xml:space="preserve">No crash</w:t>
            </w:r>
          </w:p>
        </w:tc>
        <w:tc>
          <w:tcPr/>
          <w:p>
            <w:pPr>
              <w:pStyle w:val="Compact"/>
              <w:jc w:val="left"/>
            </w:pPr>
            <w:r>
              <w:t xml:space="preserve">28%</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Total</w:t>
            </w:r>
          </w:p>
        </w:tc>
        <w:tc>
          <w:tcPr/>
          <w:p>
            <w:pPr>
              <w:pStyle w:val="Compact"/>
              <w:jc w:val="left"/>
            </w:pPr>
            <w:r>
              <w:t xml:space="preserve">100%</w:t>
            </w:r>
          </w:p>
        </w:tc>
      </w:tr>
    </w:tbl>
    <w:bookmarkEnd w:id="56"/>
    <w:bookmarkEnd w:id="57"/>
    <w:bookmarkStart w:id="60" w:name="Xb270c67328fb60045477041a59c5a6453d21f09"/>
    <w:p>
      <w:pPr>
        <w:pStyle w:val="Heading2"/>
      </w:pPr>
      <w:r>
        <w:rPr>
          <w:rStyle w:val="SectionNumber"/>
        </w:rPr>
        <w:t xml:space="preserve">5.2</w:t>
      </w:r>
      <w:r>
        <w:tab/>
      </w:r>
      <w:r>
        <w:t xml:space="preserve">Literature review and evaluation of record/replay tools</w:t>
      </w:r>
    </w:p>
    <w:p>
      <w:pPr>
        <w:pStyle w:val="FirstParagraph"/>
      </w:pPr>
      <w:r>
        <w:t xml:space="preserve">We executed a rapid literature review to systematically search for system-level provenance collectors in prior literature</w:t>
      </w:r>
      <w:r>
        <w:t xml:space="preserve"> </w:t>
      </w:r>
      <w:r>
        <w:t xml:space="preserve">(Grayson et al. 2024)</w:t>
      </w:r>
      <w:r>
        <w:t xml:space="preserve">.</w:t>
      </w:r>
      <w:r>
        <w:t xml:space="preserve"> </w:t>
      </w:r>
      <w:r>
        <w:t xml:space="preserve">We arrived at a list of 45, and then:</w:t>
      </w:r>
    </w:p>
    <w:p>
      <w:pPr>
        <w:pStyle w:val="Compact"/>
        <w:numPr>
          <w:ilvl w:val="0"/>
          <w:numId w:val="1011"/>
        </w:numPr>
      </w:pPr>
      <w:r>
        <w:t xml:space="preserve">Selected only thsoe that worked for Linux (39).</w:t>
      </w:r>
    </w:p>
    <w:p>
      <w:pPr>
        <w:pStyle w:val="Compact"/>
        <w:numPr>
          <w:ilvl w:val="0"/>
          <w:numId w:val="1011"/>
        </w:numPr>
      </w:pPr>
      <w:r>
        <w:t xml:space="preserve">From those, selected those which did not use VMs (37).</w:t>
      </w:r>
    </w:p>
    <w:p>
      <w:pPr>
        <w:pStyle w:val="Compact"/>
        <w:numPr>
          <w:ilvl w:val="0"/>
          <w:numId w:val="1011"/>
        </w:numPr>
      </w:pPr>
      <w:r>
        <w:t xml:space="preserve">From those, selected those which did not require source-code recompilation (35).</w:t>
      </w:r>
    </w:p>
    <w:p>
      <w:pPr>
        <w:pStyle w:val="Compact"/>
        <w:numPr>
          <w:ilvl w:val="0"/>
          <w:numId w:val="1011"/>
        </w:numPr>
      </w:pPr>
      <w:r>
        <w:t xml:space="preserve">From those, selected those which did not require special hardware (31).</w:t>
      </w:r>
    </w:p>
    <w:p>
      <w:pPr>
        <w:pStyle w:val="Compact"/>
        <w:numPr>
          <w:ilvl w:val="0"/>
          <w:numId w:val="1011"/>
        </w:numPr>
      </w:pPr>
      <w:r>
        <w:t xml:space="preserve">From those, selected those which had source code available (20).</w:t>
      </w:r>
    </w:p>
    <w:p>
      <w:pPr>
        <w:pStyle w:val="Compact"/>
        <w:numPr>
          <w:ilvl w:val="0"/>
          <w:numId w:val="1011"/>
        </w:numPr>
      </w:pPr>
      <w:r>
        <w:t xml:space="preserve">From those, selected those which did not require a custom kernel (15).</w:t>
      </w:r>
    </w:p>
    <w:p>
      <w:pPr>
        <w:pStyle w:val="Compact"/>
        <w:numPr>
          <w:ilvl w:val="0"/>
          <w:numId w:val="1011"/>
        </w:numPr>
      </w:pPr>
      <w:r>
        <w:t xml:space="preserve">From those, attempted to reproduce 10.</w:t>
      </w:r>
    </w:p>
    <w:p>
      <w:pPr>
        <w:pStyle w:val="Compact"/>
        <w:numPr>
          <w:ilvl w:val="0"/>
          <w:numId w:val="1011"/>
        </w:numPr>
      </w:pPr>
      <w:r>
        <w:t xml:space="preserve">From those, selected those which successfully completed all of the benchmarks (5): ReproZip, strace, fsatrace, CARE, and RR.</w:t>
      </w:r>
    </w:p>
    <w:p>
      <w:pPr>
        <w:pStyle w:val="FirstParagraph"/>
      </w:pPr>
      <w:r>
        <w:t xml:space="preserve">Unfortunately, there is no standard set of benchmarks used to evaluate system-level provenance tracers.</w:t>
      </w:r>
      <w:r>
        <w:t xml:space="preserve"> </w:t>
      </w:r>
      <w:r>
        <w:t xml:space="preserve">Therefore, we also extracted all of the benchmarks used in any work returned by this search (tbl. 7).</w:t>
      </w:r>
    </w:p>
    <w:bookmarkStart w:id="58" w:name="tbl:bmarks"/>
    <w:p>
      <w:pPr>
        <w:pStyle w:val="TableCaption"/>
      </w:pPr>
      <w:r>
        <w:t xml:space="preserve">Table 7: Benchmarks from prior works and this work.</w:t>
      </w:r>
    </w:p>
    <w:tbl>
      <w:tblPr>
        <w:tblStyle w:val="Table"/>
        <w:tblW w:type="pct" w:w="5000"/>
        <w:jc w:val="left"/>
        <w:tblLayout w:type="fixed"/>
        <w:tblLook w:firstRow="1" w:lastRow="0" w:firstColumn="0" w:lastColumn="0" w:noHBand="0" w:noVBand="0" w:val="0020"/>
        <w:tblCaption w:val="Table 7: Benchmarks from prior works and this work."/>
      </w:tblPr>
      <w:tblGrid>
        <w:gridCol w:w="1320"/>
        <w:gridCol w:w="1116"/>
        <w:gridCol w:w="5483"/>
      </w:tblGrid>
      <w:tr>
        <w:trPr>
          <w:tblHeader w:val="on"/>
        </w:trPr>
        <w:tc>
          <w:tcPr/>
          <w:p>
            <w:pPr>
              <w:pStyle w:val="Compact"/>
              <w:jc w:val="left"/>
            </w:pPr>
            <w:r>
              <w:t xml:space="preserve">Prior works</w:t>
            </w:r>
          </w:p>
        </w:tc>
        <w:tc>
          <w:tcPr/>
          <w:p>
            <w:pPr>
              <w:pStyle w:val="Compact"/>
              <w:jc w:val="left"/>
            </w:pPr>
            <w:r>
              <w:t xml:space="preserve">This work</w:t>
            </w:r>
          </w:p>
        </w:tc>
        <w:tc>
          <w:tcPr/>
          <w:p>
            <w:pPr>
              <w:pStyle w:val="Compact"/>
              <w:jc w:val="left"/>
            </w:pPr>
            <w:r>
              <w:t xml:space="preserve">Category</w:t>
            </w:r>
          </w:p>
        </w:tc>
      </w:tr>
      <w:tr>
        <w:tc>
          <w:tcPr/>
          <w:p>
            <w:pPr>
              <w:pStyle w:val="Compact"/>
              <w:jc w:val="left"/>
            </w:pPr>
            <w:r>
              <w:t xml:space="preserve">12</w:t>
            </w:r>
          </w:p>
        </w:tc>
        <w:tc>
          <w:tcPr/>
          <w:p>
            <w:pPr>
              <w:pStyle w:val="Compact"/>
              <w:jc w:val="left"/>
            </w:pPr>
            <w:r>
              <w:t xml:space="preserve">yes</w:t>
            </w:r>
          </w:p>
        </w:tc>
        <w:tc>
          <w:tcPr/>
          <w:p>
            <w:pPr>
              <w:pStyle w:val="Compact"/>
              <w:jc w:val="left"/>
            </w:pPr>
            <w:r>
              <w:t xml:space="preserve">HTTP server/traffic</w:t>
            </w:r>
          </w:p>
        </w:tc>
      </w:tr>
      <w:tr>
        <w:tc>
          <w:tcPr/>
          <w:p>
            <w:pPr>
              <w:pStyle w:val="Compact"/>
              <w:jc w:val="left"/>
            </w:pPr>
            <w:r>
              <w:t xml:space="preserve">10</w:t>
            </w:r>
          </w:p>
        </w:tc>
        <w:tc>
          <w:tcPr/>
          <w:p>
            <w:pPr>
              <w:pStyle w:val="Compact"/>
              <w:jc w:val="left"/>
            </w:pPr>
            <w:r>
              <w:t xml:space="preserve">yes</w:t>
            </w:r>
          </w:p>
        </w:tc>
        <w:tc>
          <w:tcPr/>
          <w:p>
            <w:pPr>
              <w:pStyle w:val="Compact"/>
              <w:jc w:val="left"/>
            </w:pPr>
            <w:r>
              <w:t xml:space="preserve">HTTP server/client</w:t>
            </w:r>
          </w:p>
        </w:tc>
      </w:tr>
      <w:tr>
        <w:tc>
          <w:tcPr/>
          <w:p>
            <w:pPr>
              <w:pStyle w:val="Compact"/>
              <w:jc w:val="left"/>
            </w:pPr>
            <w:r>
              <w:t xml:space="preserve">10</w:t>
            </w:r>
          </w:p>
        </w:tc>
        <w:tc>
          <w:tcPr/>
          <w:p>
            <w:pPr>
              <w:pStyle w:val="Compact"/>
              <w:jc w:val="left"/>
            </w:pPr>
            <w:r>
              <w:t xml:space="preserve">yes</w:t>
            </w:r>
          </w:p>
        </w:tc>
        <w:tc>
          <w:tcPr/>
          <w:p>
            <w:pPr>
              <w:pStyle w:val="Compact"/>
              <w:jc w:val="left"/>
            </w:pPr>
            <w:r>
              <w:t xml:space="preserve">Compile user packages</w:t>
            </w:r>
          </w:p>
        </w:tc>
      </w:tr>
      <w:tr>
        <w:tc>
          <w:tcPr/>
          <w:p>
            <w:pPr>
              <w:pStyle w:val="Compact"/>
              <w:jc w:val="left"/>
            </w:pPr>
            <w:r>
              <w:t xml:space="preserve">9</w:t>
            </w:r>
          </w:p>
        </w:tc>
        <w:tc>
          <w:tcPr/>
          <w:p>
            <w:pPr>
              <w:pStyle w:val="Compact"/>
              <w:jc w:val="left"/>
            </w:pPr>
            <w:r>
              <w:t xml:space="preserve">yes</w:t>
            </w:r>
          </w:p>
        </w:tc>
        <w:tc>
          <w:tcPr/>
          <w:p>
            <w:pPr>
              <w:pStyle w:val="Compact"/>
              <w:jc w:val="left"/>
            </w:pPr>
            <w:r>
              <w:t xml:space="preserve">I/O microbenchmarks (lmbench + Postmark)</w:t>
            </w:r>
          </w:p>
        </w:tc>
      </w:tr>
      <w:tr>
        <w:tc>
          <w:tcPr/>
          <w:p>
            <w:pPr>
              <w:pStyle w:val="Compact"/>
              <w:jc w:val="left"/>
            </w:pPr>
            <w:r>
              <w:t xml:space="preserve">9</w:t>
            </w:r>
          </w:p>
        </w:tc>
        <w:tc>
          <w:tcPr/>
          <w:p>
            <w:pPr>
              <w:pStyle w:val="Compact"/>
              <w:jc w:val="left"/>
            </w:pPr>
            <w:r>
              <w:t xml:space="preserve">no</w:t>
            </w:r>
          </w:p>
        </w:tc>
        <w:tc>
          <w:tcPr/>
          <w:p>
            <w:pPr>
              <w:pStyle w:val="Compact"/>
              <w:jc w:val="left"/>
            </w:pPr>
            <w:r>
              <w:t xml:space="preserve">Browsers</w:t>
            </w:r>
          </w:p>
        </w:tc>
      </w:tr>
      <w:tr>
        <w:tc>
          <w:tcPr/>
          <w:p>
            <w:pPr>
              <w:pStyle w:val="Compact"/>
              <w:jc w:val="left"/>
            </w:pPr>
            <w:r>
              <w:t xml:space="preserve">6</w:t>
            </w:r>
          </w:p>
        </w:tc>
        <w:tc>
          <w:tcPr/>
          <w:p>
            <w:pPr>
              <w:pStyle w:val="Compact"/>
              <w:jc w:val="left"/>
            </w:pPr>
            <w:r>
              <w:t xml:space="preserve">yes</w:t>
            </w:r>
          </w:p>
        </w:tc>
        <w:tc>
          <w:tcPr/>
          <w:p>
            <w:pPr>
              <w:pStyle w:val="Compact"/>
              <w:jc w:val="left"/>
            </w:pPr>
            <w:r>
              <w:t xml:space="preserve">FTP client</w:t>
            </w:r>
          </w:p>
        </w:tc>
      </w:tr>
      <w:tr>
        <w:tc>
          <w:tcPr/>
          <w:p>
            <w:pPr>
              <w:pStyle w:val="Compact"/>
              <w:jc w:val="left"/>
            </w:pPr>
            <w:r>
              <w:t xml:space="preserve">5</w:t>
            </w:r>
          </w:p>
        </w:tc>
        <w:tc>
          <w:tcPr/>
          <w:p>
            <w:pPr>
              <w:pStyle w:val="Compact"/>
              <w:jc w:val="left"/>
            </w:pPr>
            <w:r>
              <w:t xml:space="preserve">yes</w:t>
            </w:r>
          </w:p>
        </w:tc>
        <w:tc>
          <w:tcPr/>
          <w:p>
            <w:pPr>
              <w:pStyle w:val="Compact"/>
              <w:jc w:val="left"/>
            </w:pPr>
            <w:r>
              <w:t xml:space="preserve">FTP server/traffic</w:t>
            </w:r>
          </w:p>
        </w:tc>
      </w:tr>
      <w:tr>
        <w:tc>
          <w:tcPr/>
          <w:p>
            <w:pPr>
              <w:pStyle w:val="Compact"/>
              <w:jc w:val="left"/>
            </w:pPr>
            <w:r>
              <w:t xml:space="preserve">5</w:t>
            </w:r>
          </w:p>
        </w:tc>
        <w:tc>
          <w:tcPr/>
          <w:p>
            <w:pPr>
              <w:pStyle w:val="Compact"/>
              <w:jc w:val="left"/>
            </w:pPr>
            <w:r>
              <w:t xml:space="preserve">yes</w:t>
            </w:r>
          </w:p>
        </w:tc>
        <w:tc>
          <w:tcPr/>
          <w:p>
            <w:pPr>
              <w:pStyle w:val="Compact"/>
              <w:jc w:val="left"/>
            </w:pPr>
            <w:r>
              <w:t xml:space="preserve">Un/archive</w:t>
            </w:r>
          </w:p>
        </w:tc>
      </w:tr>
      <w:tr>
        <w:tc>
          <w:tcPr/>
          <w:p>
            <w:pPr>
              <w:pStyle w:val="Compact"/>
              <w:jc w:val="left"/>
            </w:pPr>
            <w:r>
              <w:t xml:space="preserve">5</w:t>
            </w:r>
          </w:p>
        </w:tc>
        <w:tc>
          <w:tcPr/>
          <w:p>
            <w:pPr>
              <w:pStyle w:val="Compact"/>
              <w:jc w:val="left"/>
            </w:pPr>
            <w:r>
              <w:t xml:space="preserve">yes</w:t>
            </w:r>
          </w:p>
        </w:tc>
        <w:tc>
          <w:tcPr/>
          <w:p>
            <w:pPr>
              <w:pStyle w:val="Compact"/>
              <w:jc w:val="left"/>
            </w:pPr>
            <w:r>
              <w:t xml:space="preserve">BLAST</w:t>
            </w:r>
          </w:p>
        </w:tc>
      </w:tr>
      <w:tr>
        <w:tc>
          <w:tcPr/>
          <w:p>
            <w:pPr>
              <w:pStyle w:val="Compact"/>
              <w:jc w:val="left"/>
            </w:pPr>
            <w:r>
              <w:t xml:space="preserve">5</w:t>
            </w:r>
          </w:p>
        </w:tc>
        <w:tc>
          <w:tcPr/>
          <w:p>
            <w:pPr>
              <w:pStyle w:val="Compact"/>
              <w:jc w:val="left"/>
            </w:pPr>
            <w:r>
              <w:t xml:space="preserve">yes</w:t>
            </w:r>
          </w:p>
        </w:tc>
        <w:tc>
          <w:tcPr/>
          <w:p>
            <w:pPr>
              <w:pStyle w:val="Compact"/>
              <w:jc w:val="left"/>
            </w:pPr>
            <w:r>
              <w:t xml:space="preserve">CPU benchmarks</w:t>
            </w:r>
          </w:p>
        </w:tc>
      </w:tr>
      <w:tr>
        <w:tc>
          <w:tcPr/>
          <w:p>
            <w:pPr>
              <w:pStyle w:val="Compact"/>
              <w:jc w:val="left"/>
            </w:pPr>
            <w:r>
              <w:t xml:space="preserve">5</w:t>
            </w:r>
          </w:p>
        </w:tc>
        <w:tc>
          <w:tcPr/>
          <w:p>
            <w:pPr>
              <w:pStyle w:val="Compact"/>
              <w:jc w:val="left"/>
            </w:pPr>
            <w:r>
              <w:t xml:space="preserve">yes</w:t>
            </w:r>
          </w:p>
        </w:tc>
        <w:tc>
          <w:tcPr/>
          <w:p>
            <w:pPr>
              <w:pStyle w:val="Compact"/>
              <w:jc w:val="left"/>
            </w:pPr>
            <w:r>
              <w:t xml:space="preserve">Coreutils and system utils</w:t>
            </w:r>
          </w:p>
        </w:tc>
      </w:tr>
      <w:tr>
        <w:tc>
          <w:tcPr/>
          <w:p>
            <w:pPr>
              <w:pStyle w:val="Compact"/>
              <w:jc w:val="left"/>
            </w:pPr>
            <w:r>
              <w:t xml:space="preserve">3</w:t>
            </w:r>
          </w:p>
        </w:tc>
        <w:tc>
          <w:tcPr/>
          <w:p>
            <w:pPr>
              <w:pStyle w:val="Compact"/>
              <w:jc w:val="left"/>
            </w:pPr>
            <w:r>
              <w:t xml:space="preserve">yes</w:t>
            </w:r>
          </w:p>
        </w:tc>
        <w:tc>
          <w:tcPr/>
          <w:p>
            <w:pPr>
              <w:pStyle w:val="Compact"/>
              <w:jc w:val="left"/>
            </w:pPr>
            <w:r>
              <w:t xml:space="preserve">cp</w:t>
            </w:r>
          </w:p>
        </w:tc>
      </w:tr>
      <w:tr>
        <w:tc>
          <w:tcPr/>
          <w:p>
            <w:pPr>
              <w:pStyle w:val="Compact"/>
              <w:jc w:val="left"/>
            </w:pPr>
            <w:r>
              <w:t xml:space="preserve">2</w:t>
            </w:r>
          </w:p>
        </w:tc>
        <w:tc>
          <w:tcPr/>
          <w:p>
            <w:pPr>
              <w:pStyle w:val="Compact"/>
              <w:jc w:val="left"/>
            </w:pPr>
            <w:r>
              <w:t xml:space="preserve">yes</w:t>
            </w:r>
          </w:p>
        </w:tc>
        <w:tc>
          <w:tcPr/>
          <w:p>
            <w:pPr>
              <w:pStyle w:val="Compact"/>
              <w:jc w:val="left"/>
            </w:pPr>
            <w:r>
              <w:t xml:space="preserve">VCS checkouts</w:t>
            </w:r>
          </w:p>
        </w:tc>
      </w:tr>
      <w:tr>
        <w:tc>
          <w:tcPr/>
          <w:p>
            <w:pPr>
              <w:pStyle w:val="Compact"/>
              <w:jc w:val="left"/>
            </w:pPr>
            <w:r>
              <w:t xml:space="preserve">2</w:t>
            </w:r>
          </w:p>
        </w:tc>
        <w:tc>
          <w:tcPr/>
          <w:p>
            <w:pPr>
              <w:pStyle w:val="Compact"/>
              <w:jc w:val="left"/>
            </w:pPr>
            <w:r>
              <w:t xml:space="preserve">no</w:t>
            </w:r>
          </w:p>
        </w:tc>
        <w:tc>
          <w:tcPr/>
          <w:p>
            <w:pPr>
              <w:pStyle w:val="Compact"/>
              <w:jc w:val="left"/>
            </w:pPr>
            <w:r>
              <w:t xml:space="preserve">Sendmail</w:t>
            </w:r>
          </w:p>
        </w:tc>
      </w:tr>
      <w:tr>
        <w:tc>
          <w:tcPr/>
          <w:p>
            <w:pPr>
              <w:pStyle w:val="Compact"/>
              <w:jc w:val="left"/>
            </w:pPr>
            <w:r>
              <w:t xml:space="preserve">2</w:t>
            </w:r>
          </w:p>
        </w:tc>
        <w:tc>
          <w:tcPr/>
          <w:p>
            <w:pPr>
              <w:pStyle w:val="Compact"/>
              <w:jc w:val="left"/>
            </w:pPr>
            <w:r>
              <w:t xml:space="preserve">no</w:t>
            </w:r>
          </w:p>
        </w:tc>
        <w:tc>
          <w:tcPr/>
          <w:p>
            <w:pPr>
              <w:pStyle w:val="Compact"/>
              <w:jc w:val="left"/>
            </w:pPr>
            <w:r>
              <w:t xml:space="preserve">Machine learning workflows (CleanML, Spark, ImageML)</w:t>
            </w:r>
          </w:p>
        </w:tc>
      </w:tr>
      <w:tr>
        <w:tc>
          <w:tcPr/>
          <w:p>
            <w:pPr>
              <w:pStyle w:val="Compact"/>
              <w:jc w:val="left"/>
            </w:pPr>
            <w:r>
              <w:t xml:space="preserve">1</w:t>
            </w:r>
          </w:p>
        </w:tc>
        <w:tc>
          <w:tcPr/>
          <w:p>
            <w:pPr>
              <w:pStyle w:val="Compact"/>
              <w:jc w:val="left"/>
            </w:pPr>
            <w:r>
              <w:t xml:space="preserve">no</w:t>
            </w:r>
          </w:p>
        </w:tc>
        <w:tc>
          <w:tcPr/>
          <w:p>
            <w:pPr>
              <w:pStyle w:val="Compact"/>
              <w:jc w:val="left"/>
            </w:pPr>
            <w:r>
              <w:t xml:space="preserve">Data processing workflows (VIC, FIE)</w:t>
            </w:r>
          </w:p>
        </w:tc>
      </w:tr>
    </w:tbl>
    <w:bookmarkEnd w:id="58"/>
    <w:p>
      <w:pPr>
        <w:pStyle w:val="BodyText"/>
      </w:pPr>
      <w:r>
        <w:t xml:space="preserve">Between these five, we ran the extracted benchmarks in the provenance tracers (tbl. 8).</w:t>
      </w:r>
      <w:r>
        <w:t xml:space="preserve"> </w:t>
      </w:r>
      <w:r>
        <w:t xml:space="preserve">We measured the percent overhead from native case, so a value of 50% means the new runtime would be the native runtime times 1.5.</w:t>
      </w:r>
      <w:r>
        <w:t xml:space="preserve"> </w:t>
      </w:r>
      <w:r>
        <w:t xml:space="preserve">We can see that none of the existing provenance collectors are fast enough for practical use, except for fsatrace.</w:t>
      </w:r>
      <w:r>
        <w:t xml:space="preserve"> </w:t>
      </w:r>
      <w:r>
        <w:t xml:space="preserve">The salient difference is that the other provenance tracers use ptrace to capture the underlying calls, while fsatrace uses</w:t>
      </w:r>
      <w:r>
        <w:t xml:space="preserve"> </w:t>
      </w:r>
      <w:r>
        <w:rPr>
          <w:rStyle w:val="VerbatimChar"/>
        </w:rPr>
        <w:t xml:space="preserve">LD_PRELOAD</w:t>
      </w:r>
      <w:r>
        <w:t xml:space="preserve">.</w:t>
      </w:r>
      <w:r>
        <w:t xml:space="preserve"> </w:t>
      </w:r>
      <w:r>
        <w:t xml:space="preserve">ptrace involves four context switches on every system call: one from the tracee to the kernel, one from the kernel to the tracer, one from the tracer to the kernel, and one from the kernel to the tracee.</w:t>
      </w:r>
      <w:r>
        <w:t xml:space="preserve"> </w:t>
      </w:r>
      <w:r>
        <w:rPr>
          <w:rStyle w:val="VerbatimChar"/>
        </w:rPr>
        <w:t xml:space="preserve">LD_PRELOAD</w:t>
      </w:r>
      <w:r>
        <w:t xml:space="preserve"> </w:t>
      </w:r>
      <w:r>
        <w:t xml:space="preserve">involves</w:t>
      </w:r>
      <w:r>
        <w:t xml:space="preserve"> </w:t>
      </w:r>
      <w:r>
        <w:rPr>
          <w:i/>
          <w:iCs/>
        </w:rPr>
        <w:t xml:space="preserve">no</w:t>
      </w:r>
      <w:r>
        <w:t xml:space="preserve"> </w:t>
      </w:r>
      <w:r>
        <w:t xml:space="preserve">extraneous context switches.</w:t>
      </w:r>
      <w:r>
        <w:t xml:space="preserve"> </w:t>
      </w:r>
      <w:r>
        <w:t xml:space="preserve">Therefore, we build on the underlying technology of fsatrace in our future work.</w:t>
      </w:r>
    </w:p>
    <w:bookmarkStart w:id="59" w:name="tbl:perf"/>
    <w:p>
      <w:pPr>
        <w:pStyle w:val="TableCaption"/>
      </w:pPr>
      <w:r>
        <w:t xml:space="preserve">Table 8: Performance of different provenance collectors.</w:t>
      </w:r>
    </w:p>
    <w:tbl>
      <w:tblPr>
        <w:tblStyle w:val="Table"/>
        <w:tblW w:type="pct" w:w="5000"/>
        <w:jc w:val="left"/>
        <w:tblLayout w:type="fixed"/>
        <w:tblLook w:firstRow="1" w:lastRow="0" w:firstColumn="0" w:lastColumn="0" w:noHBand="0" w:noVBand="0" w:val="0020"/>
        <w:tblCaption w:val="Table 8: Performance of different provenance collectors."/>
      </w:tblPr>
      <w:tblGrid>
        <w:gridCol w:w="2005"/>
        <w:gridCol w:w="1002"/>
        <w:gridCol w:w="1203"/>
        <w:gridCol w:w="802"/>
        <w:gridCol w:w="1002"/>
        <w:gridCol w:w="701"/>
        <w:gridCol w:w="1203"/>
      </w:tblGrid>
      <w:tr>
        <w:trPr>
          <w:tblHeader w:val="on"/>
        </w:trPr>
        <w:tc>
          <w:tcPr/>
          <w:p>
            <w:pPr>
              <w:pStyle w:val="Compact"/>
              <w:jc w:val="left"/>
            </w:pPr>
            <w:r>
              <w:t xml:space="preserve">Benchmark</w:t>
            </w:r>
          </w:p>
        </w:tc>
        <w:tc>
          <w:tcPr/>
          <w:p>
            <w:pPr>
              <w:pStyle w:val="Compact"/>
              <w:jc w:val="left"/>
            </w:pPr>
            <w:r>
              <w:t xml:space="preserve">Native</w:t>
            </w:r>
          </w:p>
        </w:tc>
        <w:tc>
          <w:tcPr/>
          <w:p>
            <w:pPr>
              <w:pStyle w:val="Compact"/>
              <w:jc w:val="left"/>
            </w:pPr>
            <w:r>
              <w:t xml:space="preserve">fsatrace</w:t>
            </w:r>
          </w:p>
        </w:tc>
        <w:tc>
          <w:tcPr/>
          <w:p>
            <w:pPr>
              <w:pStyle w:val="Compact"/>
              <w:jc w:val="left"/>
            </w:pPr>
            <w:r>
              <w:t xml:space="preserve">CARE</w:t>
            </w:r>
          </w:p>
        </w:tc>
        <w:tc>
          <w:tcPr/>
          <w:p>
            <w:pPr>
              <w:pStyle w:val="Compact"/>
              <w:jc w:val="left"/>
            </w:pPr>
            <w:r>
              <w:t xml:space="preserve">strace</w:t>
            </w:r>
          </w:p>
        </w:tc>
        <w:tc>
          <w:tcPr/>
          <w:p>
            <w:pPr>
              <w:pStyle w:val="Compact"/>
              <w:jc w:val="left"/>
            </w:pPr>
            <w:r>
              <w:t xml:space="preserve">RR</w:t>
            </w:r>
          </w:p>
        </w:tc>
        <w:tc>
          <w:tcPr/>
          <w:p>
            <w:pPr>
              <w:pStyle w:val="Compact"/>
              <w:jc w:val="left"/>
            </w:pPr>
            <w:r>
              <w:t xml:space="preserve">ReproZip</w:t>
            </w:r>
          </w:p>
        </w:tc>
      </w:tr>
      <w:tr>
        <w:tc>
          <w:tcPr/>
          <w:p>
            <w:pPr>
              <w:pStyle w:val="Compact"/>
              <w:jc w:val="left"/>
            </w:pPr>
            <w:r>
              <w:t xml:space="preserve">BLAST</w:t>
            </w:r>
          </w:p>
        </w:tc>
        <w:tc>
          <w:tcPr/>
          <w:p>
            <w:pPr>
              <w:pStyle w:val="Compact"/>
              <w:jc w:val="left"/>
            </w:pPr>
            <w:r>
              <w:t xml:space="preserve">0</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c>
          <w:tcPr/>
          <w:p>
            <w:pPr>
              <w:pStyle w:val="Compact"/>
              <w:jc w:val="left"/>
            </w:pPr>
            <w:r>
              <w:t xml:space="preserve">93</w:t>
            </w:r>
          </w:p>
        </w:tc>
        <w:tc>
          <w:tcPr/>
          <w:p>
            <w:pPr>
              <w:pStyle w:val="Compact"/>
              <w:jc w:val="left"/>
            </w:pPr>
            <w:r>
              <w:t xml:space="preserve">8</w:t>
            </w:r>
          </w:p>
        </w:tc>
      </w:tr>
      <w:tr>
        <w:tc>
          <w:tcPr/>
          <w:p>
            <w:pPr>
              <w:pStyle w:val="Compact"/>
              <w:jc w:val="left"/>
            </w:pPr>
            <w:r>
              <w:t xml:space="preserve">Tar Unarchive</w:t>
            </w:r>
          </w:p>
        </w:tc>
        <w:tc>
          <w:tcPr/>
          <w:p>
            <w:pPr>
              <w:pStyle w:val="Compact"/>
              <w:jc w:val="left"/>
            </w:pPr>
            <w:r>
              <w:t xml:space="preserve">0</w:t>
            </w:r>
          </w:p>
        </w:tc>
        <w:tc>
          <w:tcPr/>
          <w:p>
            <w:pPr>
              <w:pStyle w:val="Compact"/>
              <w:jc w:val="left"/>
            </w:pPr>
            <w:r>
              <w:t xml:space="preserve">4</w:t>
            </w:r>
          </w:p>
        </w:tc>
        <w:tc>
          <w:tcPr/>
          <w:p>
            <w:pPr>
              <w:pStyle w:val="Compact"/>
              <w:jc w:val="left"/>
            </w:pPr>
            <w:r>
              <w:t xml:space="preserve">44</w:t>
            </w:r>
          </w:p>
        </w:tc>
        <w:tc>
          <w:tcPr/>
          <w:p>
            <w:pPr>
              <w:pStyle w:val="Compact"/>
              <w:jc w:val="left"/>
            </w:pPr>
            <w:r>
              <w:t xml:space="preserve">114</w:t>
            </w:r>
          </w:p>
        </w:tc>
        <w:tc>
          <w:tcPr/>
          <w:p>
            <w:pPr>
              <w:pStyle w:val="Compact"/>
              <w:jc w:val="left"/>
            </w:pPr>
            <w:r>
              <w:t xml:space="preserve">195</w:t>
            </w:r>
          </w:p>
        </w:tc>
        <w:tc>
          <w:tcPr/>
          <w:p>
            <w:pPr>
              <w:pStyle w:val="Compact"/>
              <w:jc w:val="left"/>
            </w:pPr>
            <w:r>
              <w:t xml:space="preserve">149</w:t>
            </w:r>
          </w:p>
        </w:tc>
      </w:tr>
      <w:tr>
        <w:tc>
          <w:tcPr/>
          <w:p>
            <w:pPr>
              <w:pStyle w:val="Compact"/>
              <w:jc w:val="left"/>
            </w:pPr>
            <w:r>
              <w:t xml:space="preserve">Python import</w:t>
            </w:r>
          </w:p>
        </w:tc>
        <w:tc>
          <w:tcPr/>
          <w:p>
            <w:pPr>
              <w:pStyle w:val="Compact"/>
              <w:jc w:val="left"/>
            </w:pPr>
            <w:r>
              <w:t xml:space="preserve">0</w:t>
            </w:r>
          </w:p>
        </w:tc>
        <w:tc>
          <w:tcPr/>
          <w:p>
            <w:pPr>
              <w:pStyle w:val="Compact"/>
              <w:jc w:val="left"/>
            </w:pPr>
            <w:r>
              <w:t xml:space="preserve">5</w:t>
            </w:r>
          </w:p>
        </w:tc>
        <w:tc>
          <w:tcPr/>
          <w:p>
            <w:pPr>
              <w:pStyle w:val="Compact"/>
              <w:jc w:val="left"/>
            </w:pPr>
            <w:r>
              <w:t xml:space="preserve">85</w:t>
            </w:r>
          </w:p>
        </w:tc>
        <w:tc>
          <w:tcPr/>
          <w:p>
            <w:pPr>
              <w:pStyle w:val="Compact"/>
              <w:jc w:val="left"/>
            </w:pPr>
            <w:r>
              <w:t xml:space="preserve">84</w:t>
            </w:r>
          </w:p>
        </w:tc>
        <w:tc>
          <w:tcPr/>
          <w:p>
            <w:pPr>
              <w:pStyle w:val="Compact"/>
              <w:jc w:val="left"/>
            </w:pPr>
            <w:r>
              <w:t xml:space="preserve">150</w:t>
            </w:r>
          </w:p>
        </w:tc>
        <w:tc>
          <w:tcPr/>
          <w:p>
            <w:pPr>
              <w:pStyle w:val="Compact"/>
              <w:jc w:val="left"/>
            </w:pPr>
            <w:r>
              <w:t xml:space="preserve">346</w:t>
            </w:r>
          </w:p>
        </w:tc>
      </w:tr>
      <w:tr>
        <w:tc>
          <w:tcPr/>
          <w:p>
            <w:pPr>
              <w:pStyle w:val="Compact"/>
              <w:jc w:val="left"/>
            </w:pPr>
            <w:r>
              <w:t xml:space="preserve">VCS checkout</w:t>
            </w:r>
          </w:p>
        </w:tc>
        <w:tc>
          <w:tcPr/>
          <w:p>
            <w:pPr>
              <w:pStyle w:val="Compact"/>
              <w:jc w:val="left"/>
            </w:pPr>
            <w:r>
              <w:t xml:space="preserve">0</w:t>
            </w:r>
          </w:p>
        </w:tc>
        <w:tc>
          <w:tcPr/>
          <w:p>
            <w:pPr>
              <w:pStyle w:val="Compact"/>
              <w:jc w:val="left"/>
            </w:pPr>
            <w:r>
              <w:t xml:space="preserve">5</w:t>
            </w:r>
          </w:p>
        </w:tc>
        <w:tc>
          <w:tcPr/>
          <w:p>
            <w:pPr>
              <w:pStyle w:val="Compact"/>
              <w:jc w:val="left"/>
            </w:pPr>
            <w:r>
              <w:t xml:space="preserve">71</w:t>
            </w:r>
          </w:p>
        </w:tc>
        <w:tc>
          <w:tcPr/>
          <w:p>
            <w:pPr>
              <w:pStyle w:val="Compact"/>
              <w:jc w:val="left"/>
            </w:pPr>
            <w:r>
              <w:t xml:space="preserve">160</w:t>
            </w:r>
          </w:p>
        </w:tc>
        <w:tc>
          <w:tcPr/>
          <w:p>
            <w:pPr>
              <w:pStyle w:val="Compact"/>
              <w:jc w:val="left"/>
            </w:pPr>
            <w:r>
              <w:t xml:space="preserve">177</w:t>
            </w:r>
          </w:p>
        </w:tc>
        <w:tc>
          <w:tcPr/>
          <w:p>
            <w:pPr>
              <w:pStyle w:val="Compact"/>
              <w:jc w:val="left"/>
            </w:pPr>
            <w:r>
              <w:t xml:space="preserve">428</w:t>
            </w:r>
          </w:p>
        </w:tc>
      </w:tr>
      <w:tr>
        <w:tc>
          <w:tcPr/>
          <w:p>
            <w:pPr>
              <w:pStyle w:val="Compact"/>
              <w:jc w:val="left"/>
            </w:pPr>
            <w:r>
              <w:t xml:space="preserve">Compile w/Spack</w:t>
            </w:r>
          </w:p>
        </w:tc>
        <w:tc>
          <w:tcPr/>
          <w:p>
            <w:pPr>
              <w:pStyle w:val="Compact"/>
              <w:jc w:val="left"/>
            </w:pPr>
            <w:r>
              <w:t xml:space="preserve">0</w:t>
            </w:r>
          </w:p>
        </w:tc>
        <w:tc>
          <w:tcPr/>
          <w:p>
            <w:pPr>
              <w:pStyle w:val="Compact"/>
              <w:jc w:val="left"/>
            </w:pPr>
            <w:r>
              <w:t xml:space="preserve">-1</w:t>
            </w:r>
          </w:p>
        </w:tc>
        <w:tc>
          <w:tcPr/>
          <w:p>
            <w:pPr>
              <w:pStyle w:val="Compact"/>
              <w:jc w:val="left"/>
            </w:pPr>
            <w:r>
              <w:t xml:space="preserve">119</w:t>
            </w:r>
          </w:p>
        </w:tc>
        <w:tc>
          <w:tcPr/>
          <w:p>
            <w:pPr>
              <w:pStyle w:val="Compact"/>
              <w:jc w:val="left"/>
            </w:pPr>
            <w:r>
              <w:t xml:space="preserve">111</w:t>
            </w:r>
          </w:p>
        </w:tc>
        <w:tc>
          <w:tcPr/>
          <w:p>
            <w:pPr>
              <w:pStyle w:val="Compact"/>
              <w:jc w:val="left"/>
            </w:pPr>
            <w:r>
              <w:t xml:space="preserve">562</w:t>
            </w:r>
          </w:p>
        </w:tc>
        <w:tc>
          <w:tcPr/>
          <w:p>
            <w:pPr>
              <w:pStyle w:val="Compact"/>
              <w:jc w:val="left"/>
            </w:pPr>
            <w:r>
              <w:t xml:space="preserve">359</w:t>
            </w:r>
          </w:p>
        </w:tc>
      </w:tr>
      <w:tr>
        <w:tc>
          <w:tcPr/>
          <w:p>
            <w:pPr>
              <w:pStyle w:val="Compact"/>
              <w:jc w:val="left"/>
            </w:pPr>
            <w:r>
              <w:t xml:space="preserve">Postmark</w:t>
            </w:r>
          </w:p>
        </w:tc>
        <w:tc>
          <w:tcPr/>
          <w:p>
            <w:pPr>
              <w:pStyle w:val="Compact"/>
              <w:jc w:val="left"/>
            </w:pPr>
            <w:r>
              <w:t xml:space="preserve">0</w:t>
            </w:r>
          </w:p>
        </w:tc>
        <w:tc>
          <w:tcPr/>
          <w:p>
            <w:pPr>
              <w:pStyle w:val="Compact"/>
              <w:jc w:val="left"/>
            </w:pPr>
            <w:r>
              <w:t xml:space="preserve">2</w:t>
            </w:r>
          </w:p>
        </w:tc>
        <w:tc>
          <w:tcPr/>
          <w:p>
            <w:pPr>
              <w:pStyle w:val="Compact"/>
              <w:jc w:val="left"/>
            </w:pPr>
            <w:r>
              <w:t xml:space="preserve">231</w:t>
            </w:r>
          </w:p>
        </w:tc>
        <w:tc>
          <w:tcPr/>
          <w:p>
            <w:pPr>
              <w:pStyle w:val="Compact"/>
              <w:jc w:val="left"/>
            </w:pPr>
            <w:r>
              <w:t xml:space="preserve">650</w:t>
            </w:r>
          </w:p>
        </w:tc>
        <w:tc>
          <w:tcPr/>
          <w:p>
            <w:pPr>
              <w:pStyle w:val="Compact"/>
              <w:jc w:val="left"/>
            </w:pPr>
            <w:r>
              <w:t xml:space="preserve">259</w:t>
            </w:r>
          </w:p>
        </w:tc>
        <w:tc>
          <w:tcPr/>
          <w:p>
            <w:pPr>
              <w:pStyle w:val="Compact"/>
              <w:jc w:val="left"/>
            </w:pPr>
            <w:r>
              <w:t xml:space="preserve">1733</w:t>
            </w:r>
          </w:p>
        </w:tc>
      </w:tr>
      <w:tr>
        <w:tc>
          <w:tcPr/>
          <w:p>
            <w:pPr>
              <w:pStyle w:val="Compact"/>
              <w:jc w:val="left"/>
            </w:pPr>
            <w:r>
              <w:t xml:space="preserve">cp</w:t>
            </w:r>
          </w:p>
        </w:tc>
        <w:tc>
          <w:tcPr/>
          <w:p>
            <w:pPr>
              <w:pStyle w:val="Compact"/>
              <w:jc w:val="left"/>
            </w:pPr>
            <w:r>
              <w:t xml:space="preserve">0</w:t>
            </w:r>
          </w:p>
        </w:tc>
        <w:tc>
          <w:tcPr/>
          <w:p>
            <w:pPr>
              <w:pStyle w:val="Compact"/>
              <w:jc w:val="left"/>
            </w:pPr>
            <w:r>
              <w:t xml:space="preserve">37</w:t>
            </w:r>
          </w:p>
        </w:tc>
        <w:tc>
          <w:tcPr/>
          <w:p>
            <w:pPr>
              <w:pStyle w:val="Compact"/>
              <w:jc w:val="left"/>
            </w:pPr>
            <w:r>
              <w:t xml:space="preserve">641</w:t>
            </w:r>
          </w:p>
        </w:tc>
        <w:tc>
          <w:tcPr/>
          <w:p>
            <w:pPr>
              <w:pStyle w:val="Compact"/>
              <w:jc w:val="left"/>
            </w:pPr>
            <w:r>
              <w:t xml:space="preserve">380</w:t>
            </w:r>
          </w:p>
        </w:tc>
        <w:tc>
          <w:tcPr/>
          <w:p>
            <w:pPr>
              <w:pStyle w:val="Compact"/>
              <w:jc w:val="left"/>
            </w:pPr>
            <w:r>
              <w:t xml:space="preserve">232</w:t>
            </w:r>
          </w:p>
        </w:tc>
        <w:tc>
          <w:tcPr/>
          <w:p>
            <w:pPr>
              <w:pStyle w:val="Compact"/>
              <w:jc w:val="left"/>
            </w:pPr>
            <w:r>
              <w:t xml:space="preserve">5791</w:t>
            </w:r>
          </w:p>
        </w:tc>
      </w:tr>
      <w:tr>
        <w:tc>
          <w:tcPr/>
          <w:p>
            <w:pPr>
              <w:pStyle w:val="Compact"/>
              <w:jc w:val="left"/>
            </w:pPr>
            <w:r>
              <w:t xml:space="preserve">Others not shown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Geometric mean</w:t>
            </w:r>
          </w:p>
        </w:tc>
        <w:tc>
          <w:tcPr/>
          <w:p>
            <w:pPr>
              <w:pStyle w:val="Compact"/>
              <w:jc w:val="left"/>
            </w:pPr>
            <w:r>
              <w:t xml:space="preserve">0</w:t>
            </w:r>
          </w:p>
        </w:tc>
        <w:tc>
          <w:tcPr/>
          <w:p>
            <w:pPr>
              <w:pStyle w:val="Compact"/>
              <w:jc w:val="left"/>
            </w:pPr>
            <w:r>
              <w:t xml:space="preserve">0</w:t>
            </w:r>
          </w:p>
        </w:tc>
        <w:tc>
          <w:tcPr/>
          <w:p>
            <w:pPr>
              <w:pStyle w:val="Compact"/>
              <w:jc w:val="left"/>
            </w:pPr>
            <w:r>
              <w:t xml:space="preserve">45</w:t>
            </w:r>
          </w:p>
        </w:tc>
        <w:tc>
          <w:tcPr/>
          <w:p>
            <w:pPr>
              <w:pStyle w:val="Compact"/>
              <w:jc w:val="left"/>
            </w:pPr>
            <w:r>
              <w:t xml:space="preserve">66</w:t>
            </w:r>
          </w:p>
        </w:tc>
        <w:tc>
          <w:tcPr/>
          <w:p>
            <w:pPr>
              <w:pStyle w:val="Compact"/>
              <w:jc w:val="left"/>
            </w:pPr>
            <w:r>
              <w:t xml:space="preserve">46</w:t>
            </w:r>
          </w:p>
        </w:tc>
        <w:tc>
          <w:tcPr/>
          <w:p>
            <w:pPr>
              <w:pStyle w:val="Compact"/>
              <w:jc w:val="left"/>
            </w:pPr>
            <w:r>
              <w:t xml:space="preserve">193</w:t>
            </w:r>
          </w:p>
        </w:tc>
      </w:tr>
    </w:tbl>
    <w:bookmarkEnd w:id="59"/>
    <w:bookmarkEnd w:id="60"/>
    <w:bookmarkEnd w:id="61"/>
    <w:bookmarkStart w:id="65" w:name="proposed-work"/>
    <w:p>
      <w:pPr>
        <w:pStyle w:val="Heading1"/>
      </w:pPr>
      <w:r>
        <w:rPr>
          <w:rStyle w:val="SectionNumber"/>
        </w:rPr>
        <w:t xml:space="preserve">6</w:t>
      </w:r>
      <w:r>
        <w:tab/>
      </w:r>
      <w:r>
        <w:t xml:space="preserve">Proposed work</w:t>
      </w:r>
    </w:p>
    <w:p>
      <w:pPr>
        <w:pStyle w:val="FirstParagraph"/>
      </w:pPr>
      <w:r>
        <w:t xml:space="preserve">After having gathered empirical evidence on why CSEs fail to be reproducible and gathered evidence on state-of-the-art provenance tracers, it is time to set off on future work.</w:t>
      </w:r>
    </w:p>
    <w:bookmarkStart w:id="62" w:name="Xbf770dae50da170b645963bb0bcdaadf3f9cbb3"/>
    <w:p>
      <w:pPr>
        <w:pStyle w:val="Heading2"/>
      </w:pPr>
      <w:r>
        <w:rPr>
          <w:rStyle w:val="SectionNumber"/>
        </w:rPr>
        <w:t xml:space="preserve">6.1</w:t>
      </w:r>
      <w:r>
        <w:tab/>
      </w:r>
      <w:r>
        <w:t xml:space="preserve">Provenance &amp; Replay Observation Engine (PROBE)</w:t>
      </w:r>
    </w:p>
    <w:p>
      <w:pPr>
        <w:pStyle w:val="FirstParagraph"/>
      </w:pPr>
      <w:r>
        <w:t xml:space="preserve">I am working on a novel, system-level provenance tracer that uses</w:t>
      </w:r>
      <w:r>
        <w:t xml:space="preserve"> </w:t>
      </w:r>
      <w:r>
        <w:rPr>
          <w:rStyle w:val="VerbatimChar"/>
        </w:rPr>
        <w:t xml:space="preserve">LD_PRELOAD</w:t>
      </w:r>
      <w:r>
        <w:t xml:space="preserve"> </w:t>
      </w:r>
      <w:r>
        <w:t xml:space="preserve">called PROBE.</w:t>
      </w:r>
      <w:r>
        <w:t xml:space="preserve"> </w:t>
      </w:r>
      <w:r>
        <w:t xml:space="preserve">The tracer is capable of tracing simple applications and extracting a provenance dataflow graph.</w:t>
      </w:r>
      <w:r>
        <w:t xml:space="preserve"> </w:t>
      </w:r>
      <w:r>
        <w:t xml:space="preserve">I need to work on:</w:t>
      </w:r>
    </w:p>
    <w:p>
      <w:pPr>
        <w:pStyle w:val="Compact"/>
        <w:numPr>
          <w:ilvl w:val="0"/>
          <w:numId w:val="1012"/>
        </w:numPr>
      </w:pPr>
      <w:r>
        <w:t xml:space="preserve">tracing more complex applications</w:t>
      </w:r>
    </w:p>
    <w:p>
      <w:pPr>
        <w:pStyle w:val="Compact"/>
        <w:numPr>
          <w:ilvl w:val="0"/>
          <w:numId w:val="1012"/>
        </w:numPr>
      </w:pPr>
      <w:r>
        <w:t xml:space="preserve">tracing remote applications (by wrapping remote accesses)</w:t>
      </w:r>
    </w:p>
    <w:p>
      <w:pPr>
        <w:pStyle w:val="Compact"/>
        <w:numPr>
          <w:ilvl w:val="0"/>
          <w:numId w:val="1012"/>
        </w:numPr>
      </w:pPr>
      <w:r>
        <w:t xml:space="preserve">replaying the trace on other machines</w:t>
      </w:r>
    </w:p>
    <w:p>
      <w:pPr>
        <w:pStyle w:val="Compact"/>
        <w:numPr>
          <w:ilvl w:val="0"/>
          <w:numId w:val="1012"/>
        </w:numPr>
      </w:pPr>
      <w:r>
        <w:t xml:space="preserve">converting the trace to a workflow</w:t>
      </w:r>
    </w:p>
    <w:p>
      <w:pPr>
        <w:pStyle w:val="FirstParagraph"/>
      </w:pPr>
      <w:r>
        <w:t xml:space="preserve">I plan to leverage provenance standards such as RO-crates</w:t>
      </w:r>
      <w:r>
        <w:t xml:space="preserve"> </w:t>
      </w:r>
      <w:r>
        <w:t xml:space="preserve"> </w:t>
      </w:r>
      <w:r>
        <w:t xml:space="preserve">and W3C PROV.</w:t>
      </w:r>
    </w:p>
    <w:p>
      <w:pPr>
        <w:pStyle w:val="BodyText"/>
      </w:pPr>
      <w:r>
        <w:t xml:space="preserve">I would evaluate PROBE based on its performance and the set of configuration variables that it isolates in the replay environment.</w:t>
      </w:r>
      <w:r>
        <w:t xml:space="preserve"> </w:t>
      </w:r>
      <w:r>
        <w:t xml:space="preserve">Both of which will be compared relative to other record/replay tools</w:t>
      </w:r>
    </w:p>
    <w:p>
      <w:pPr>
        <w:pStyle w:val="BodyText"/>
      </w:pPr>
      <w:r>
        <w:t xml:space="preserve">Eventually, I want to put PROBE to use in practice at Sandia National Labs, perhaps writing an experience report about translating research into practice.</w:t>
      </w:r>
    </w:p>
    <w:bookmarkEnd w:id="62"/>
    <w:bookmarkStart w:id="63" w:name="automatic-environment-manipulation"/>
    <w:p>
      <w:pPr>
        <w:pStyle w:val="Heading2"/>
      </w:pPr>
      <w:r>
        <w:rPr>
          <w:rStyle w:val="SectionNumber"/>
        </w:rPr>
        <w:t xml:space="preserve">6.2</w:t>
      </w:r>
      <w:r>
        <w:tab/>
      </w:r>
      <w:r>
        <w:t xml:space="preserve">Automatic environment manipulation</w:t>
      </w:r>
    </w:p>
    <w:p>
      <w:pPr>
        <w:pStyle w:val="FirstParagraph"/>
      </w:pPr>
      <w:r>
        <w:t xml:space="preserve">It is more convenient to</w:t>
      </w:r>
      <w:r>
        <w:t xml:space="preserve"> </w:t>
      </w:r>
      <w:r>
        <w:rPr>
          <w:i/>
          <w:iCs/>
        </w:rPr>
        <w:t xml:space="preserve">preserve</w:t>
      </w:r>
      <w:r>
        <w:t xml:space="preserve"> </w:t>
      </w:r>
      <w:r>
        <w:t xml:space="preserve">reproducibility, there are important works for which we must do the more difficult task of</w:t>
      </w:r>
      <w:r>
        <w:t xml:space="preserve"> </w:t>
      </w:r>
      <w:r>
        <w:rPr>
          <w:i/>
          <w:iCs/>
        </w:rPr>
        <w:t xml:space="preserve">restoring</w:t>
      </w:r>
      <w:r>
        <w:t xml:space="preserve"> </w:t>
      </w:r>
      <w:r>
        <w:t xml:space="preserve">reproducibility.</w:t>
      </w:r>
      <w:r>
        <w:t xml:space="preserve"> </w:t>
      </w:r>
      <w:r>
        <w:t xml:space="preserve">In these cases, we can try automated methods to restore reproducibility.</w:t>
      </w:r>
      <w:r>
        <w:t xml:space="preserve"> </w:t>
      </w:r>
      <w:r>
        <w:t xml:space="preserve">The most obvious thing to try is mutating the software environment and trying again.</w:t>
      </w:r>
      <w:r>
        <w:t xml:space="preserve"> </w:t>
      </w:r>
      <w:r>
        <w:t xml:space="preserve">Perhaps the approach can be augmented with PROBE, which will reveal which parts of the software environment are being accessed.</w:t>
      </w:r>
    </w:p>
    <w:p>
      <w:pPr>
        <w:pStyle w:val="BodyText"/>
      </w:pPr>
      <w:r>
        <w:t xml:space="preserve">A tool that automatically manipulates the software environment could also be used to test the sensitivity of CSEs to software versions.</w:t>
      </w:r>
      <w:r>
        <w:t xml:space="preserve"> </w:t>
      </w:r>
      <w:r>
        <w:t xml:space="preserve">Prior work shows that changing the software environment has approximately the same effect as changing the rounding mode for their particular CSE</w:t>
      </w:r>
      <w:r>
        <w:t xml:space="preserve"> </w:t>
      </w:r>
      <w:r>
        <w:t xml:space="preserve">(Vila et al. 2024)</w:t>
      </w:r>
      <w:r>
        <w:t xml:space="preserve">.</w:t>
      </w:r>
      <w:r>
        <w:t xml:space="preserve"> </w:t>
      </w:r>
      <w:r>
        <w:t xml:space="preserve">It would be interesting to generalize this to other CSEs.</w:t>
      </w:r>
      <w:r>
        <w:t xml:space="preserve"> </w:t>
      </w:r>
      <w:r>
        <w:t xml:space="preserve">Perhaps this could even be used as a method to empirically validate uncertainty quantification estimates produced using other methods.</w:t>
      </w:r>
    </w:p>
    <w:bookmarkEnd w:id="63"/>
    <w:bookmarkStart w:id="64" w:name="timeline"/>
    <w:p>
      <w:pPr>
        <w:pStyle w:val="Heading2"/>
      </w:pPr>
      <w:r>
        <w:rPr>
          <w:rStyle w:val="SectionNumber"/>
        </w:rPr>
        <w:t xml:space="preserve">6.3</w:t>
      </w:r>
      <w:r>
        <w:tab/>
      </w:r>
      <w:r>
        <w:t xml:space="preserve">Timeline</w:t>
      </w:r>
    </w:p>
    <w:p>
      <w:pPr>
        <w:pStyle w:val="Compact"/>
        <w:numPr>
          <w:ilvl w:val="0"/>
          <w:numId w:val="1013"/>
        </w:numPr>
      </w:pPr>
      <w:r>
        <w:t xml:space="preserve">Complete PROBE functionality 2024 Nov 31.</w:t>
      </w:r>
    </w:p>
    <w:p>
      <w:pPr>
        <w:pStyle w:val="Compact"/>
        <w:numPr>
          <w:ilvl w:val="0"/>
          <w:numId w:val="1013"/>
        </w:numPr>
      </w:pPr>
      <w:r>
        <w:t xml:space="preserve">Deploy PROBE in practice 2024 Jan 31.</w:t>
      </w:r>
    </w:p>
    <w:p>
      <w:pPr>
        <w:pStyle w:val="Compact"/>
        <w:numPr>
          <w:ilvl w:val="0"/>
          <w:numId w:val="1013"/>
        </w:numPr>
      </w:pPr>
      <w:r>
        <w:t xml:space="preserve">Automatic environment manipulation 2024 Apr 31.</w:t>
      </w:r>
    </w:p>
    <w:p>
      <w:pPr>
        <w:pStyle w:val="Compact"/>
        <w:numPr>
          <w:ilvl w:val="0"/>
          <w:numId w:val="1013"/>
        </w:numPr>
      </w:pPr>
      <w:r>
        <w:t xml:space="preserve">Collberg &amp; Proebsting reproduction 2024 Apr 31.</w:t>
      </w:r>
    </w:p>
    <w:bookmarkEnd w:id="64"/>
    <w:bookmarkEnd w:id="65"/>
    <w:bookmarkStart w:id="147" w:name="bibliography"/>
    <w:p>
      <w:pPr>
        <w:pStyle w:val="Heading1"/>
      </w:pPr>
      <w:r>
        <w:t xml:space="preserve">Bibliography</w:t>
      </w:r>
    </w:p>
    <w:bookmarkStart w:id="146" w:name="refs"/>
    <w:bookmarkStart w:id="67" w:name="X06faf09ba2496cd155fe8e09d8045ff21b1be20"/>
    <w:p>
      <w:pPr>
        <w:pStyle w:val="Bibliography"/>
      </w:pPr>
      <w:r>
        <w:t xml:space="preserve">ACM Inc. staff. 2020.</w:t>
      </w:r>
      <w:r>
        <w:t xml:space="preserve"> </w:t>
      </w:r>
      <w:r>
        <w:t xml:space="preserve">“Artifact Review and Badging.”</w:t>
      </w:r>
      <w:r>
        <w:t xml:space="preserve"> </w:t>
      </w:r>
      <w:r>
        <w:t xml:space="preserve">August 24, 2020.</w:t>
      </w:r>
      <w:r>
        <w:t xml:space="preserve"> </w:t>
      </w:r>
      <w:hyperlink r:id="rId66">
        <w:r>
          <w:rPr>
            <w:rStyle w:val="Hyperlink"/>
          </w:rPr>
          <w:t xml:space="preserve">https://www.acm.org/publications/policies/artifact-review-and-badging-current</w:t>
        </w:r>
      </w:hyperlink>
      <w:r>
        <w:t xml:space="preserve">.</w:t>
      </w:r>
    </w:p>
    <w:bookmarkEnd w:id="67"/>
    <w:bookmarkStart w:id="69" w:name="ref-besseyFewBillionLines2010"/>
    <w:p>
      <w:pPr>
        <w:pStyle w:val="Bibliography"/>
      </w:pPr>
      <w:r>
        <w:t xml:space="preserve">Bessey, Al, Ken Block, Ben Chelf, Andy Chou, Bryan Fulton, Seth Hallem, Charles Henri-Gros, Asya Kamsky, Scott McPeak, and Dawson Engler. 2010.</w:t>
      </w:r>
      <w:r>
        <w:t xml:space="preserve"> </w:t>
      </w:r>
      <w:r>
        <w:t xml:space="preserve">“A Few Billion Lines of Code Later: Using Static Analysis to Find Bugs in the Real World.”</w:t>
      </w:r>
      <w:r>
        <w:t xml:space="preserve"> </w:t>
      </w:r>
      <w:r>
        <w:rPr>
          <w:i/>
          <w:iCs/>
        </w:rPr>
        <w:t xml:space="preserve">Communications of the ACM</w:t>
      </w:r>
      <w:r>
        <w:t xml:space="preserve"> </w:t>
      </w:r>
      <w:r>
        <w:t xml:space="preserve">53 (2): 66–75.</w:t>
      </w:r>
      <w:r>
        <w:t xml:space="preserve"> </w:t>
      </w:r>
      <w:hyperlink r:id="rId68">
        <w:r>
          <w:rPr>
            <w:rStyle w:val="Hyperlink"/>
          </w:rPr>
          <w:t xml:space="preserve">https://doi.org/10.1145/1646353.1646374</w:t>
        </w:r>
      </w:hyperlink>
      <w:r>
        <w:t xml:space="preserve">.</w:t>
      </w:r>
    </w:p>
    <w:bookmarkEnd w:id="69"/>
    <w:bookmarkStart w:id="71" w:name="X24a882c6868ef0bd6eb930e17536a71e4d7ca39"/>
    <w:p>
      <w:pPr>
        <w:pStyle w:val="Bibliography"/>
      </w:pPr>
      <w:r>
        <w:t xml:space="preserve">Brinckman, Adam, Kyle Chard, Niall Gaffney, Mihael Hategan, Matthew B. Jones, Kacper Kowalik, Sivakumar Kulasekaran, et al. 2019.</w:t>
      </w:r>
      <w:r>
        <w:t xml:space="preserve"> </w:t>
      </w:r>
      <w:r>
        <w:t xml:space="preserve">“Computing Environments for Reproducibility: Capturing the</w:t>
      </w:r>
      <w:r>
        <w:t xml:space="preserve"> </w:t>
      </w:r>
      <w:r>
        <w:t xml:space="preserve">‘Whole Tale’</w:t>
      </w:r>
      <w:r>
        <w:t xml:space="preserve">.”</w:t>
      </w:r>
      <w:r>
        <w:t xml:space="preserve"> </w:t>
      </w:r>
      <w:r>
        <w:rPr>
          <w:i/>
          <w:iCs/>
        </w:rPr>
        <w:t xml:space="preserve">Future Generation Computer Systems</w:t>
      </w:r>
      <w:r>
        <w:t xml:space="preserve"> </w:t>
      </w:r>
      <w:r>
        <w:t xml:space="preserve">94 (May): 854–67.</w:t>
      </w:r>
      <w:r>
        <w:t xml:space="preserve"> </w:t>
      </w:r>
      <w:hyperlink r:id="rId70">
        <w:r>
          <w:rPr>
            <w:rStyle w:val="Hyperlink"/>
          </w:rPr>
          <w:t xml:space="preserve">https://doi.org/10.1016/j.future.2017.12.029</w:t>
        </w:r>
      </w:hyperlink>
      <w:r>
        <w:t xml:space="preserve">.</w:t>
      </w:r>
    </w:p>
    <w:bookmarkEnd w:id="71"/>
    <w:bookmarkStart w:id="73" w:name="Xc4f7faf3cbb4b92d1e95ff5f6f078548eb00047"/>
    <w:p>
      <w:pPr>
        <w:pStyle w:val="Bibliography"/>
      </w:pPr>
      <w:r>
        <w:t xml:space="preserve">Ciepiela, Eryk, Leszek Zaraska, and Grzegorz D. Sulka. 2012.</w:t>
      </w:r>
      <w:r>
        <w:t xml:space="preserve"> </w:t>
      </w:r>
      <w:r>
        <w:t xml:space="preserve">“GridSpace2 Virtual Laboratory Case Study: Implementation of Algorithms for Quantitative Analysis of Grain Morphology in Self-Assembled Hexagonal Lattices According to the Hillebrand Method.”</w:t>
      </w:r>
      <w:r>
        <w:t xml:space="preserve"> </w:t>
      </w:r>
      <w:r>
        <w:t xml:space="preserve">In</w:t>
      </w:r>
      <w:r>
        <w:t xml:space="preserve"> </w:t>
      </w:r>
      <w:r>
        <w:rPr>
          <w:i/>
          <w:iCs/>
        </w:rPr>
        <w:t xml:space="preserve">Building a National Distributed e-Infrastructure–PL-Grid</w:t>
      </w:r>
      <w:r>
        <w:t xml:space="preserve">, edited by Marian Bubak, Tomasz Szepieniec, and Kazimierz Wiatr, 7136:240–51. Berlin, Heidelberg: Springer Berlin Heidelberg.</w:t>
      </w:r>
      <w:r>
        <w:t xml:space="preserve"> </w:t>
      </w:r>
      <w:hyperlink r:id="rId72">
        <w:r>
          <w:rPr>
            <w:rStyle w:val="Hyperlink"/>
          </w:rPr>
          <w:t xml:space="preserve">https://doi.org/10.1007/978-3-642-28267-6_19</w:t>
        </w:r>
      </w:hyperlink>
      <w:r>
        <w:t xml:space="preserve">.</w:t>
      </w:r>
    </w:p>
    <w:bookmarkEnd w:id="73"/>
    <w:bookmarkStart w:id="75" w:name="ref-claerboutElectronicDocumentsGive1992"/>
    <w:p>
      <w:pPr>
        <w:pStyle w:val="Bibliography"/>
      </w:pPr>
      <w:r>
        <w:t xml:space="preserve">Claerbout, Jon F., and Martin Karrenbach. 1992.</w:t>
      </w:r>
      <w:r>
        <w:t xml:space="preserve"> </w:t>
      </w:r>
      <w:r>
        <w:t xml:space="preserve">“Electronic Documents Give Reproducible Research a New Meaning.”</w:t>
      </w:r>
      <w:r>
        <w:t xml:space="preserve"> </w:t>
      </w:r>
      <w:r>
        <w:t xml:space="preserve">In</w:t>
      </w:r>
      <w:r>
        <w:t xml:space="preserve"> </w:t>
      </w:r>
      <w:r>
        <w:rPr>
          <w:i/>
          <w:iCs/>
        </w:rPr>
        <w:t xml:space="preserve">SEG Technical Program Expanded Abstracts 1992</w:t>
      </w:r>
      <w:r>
        <w:t xml:space="preserve">, 601–4. Society of Exploration Geophysicists.</w:t>
      </w:r>
      <w:r>
        <w:t xml:space="preserve"> </w:t>
      </w:r>
      <w:hyperlink r:id="rId74">
        <w:r>
          <w:rPr>
            <w:rStyle w:val="Hyperlink"/>
          </w:rPr>
          <w:t xml:space="preserve">https://doi.org/10.1190/1.1822162</w:t>
        </w:r>
      </w:hyperlink>
      <w:r>
        <w:t xml:space="preserve">.</w:t>
      </w:r>
    </w:p>
    <w:bookmarkEnd w:id="75"/>
    <w:bookmarkStart w:id="77" w:name="Xa508ec4b620ea7b8cb4dd9b9c2afaa8b3319796"/>
    <w:p>
      <w:pPr>
        <w:pStyle w:val="Bibliography"/>
      </w:pPr>
      <w:r>
        <w:t xml:space="preserve">Collberg, Christian, and Todd A. Proebsting. 2016.</w:t>
      </w:r>
      <w:r>
        <w:t xml:space="preserve"> </w:t>
      </w:r>
      <w:r>
        <w:t xml:space="preserve">“Repeatability in Computer Systems Research.”</w:t>
      </w:r>
      <w:r>
        <w:t xml:space="preserve"> </w:t>
      </w:r>
      <w:r>
        <w:rPr>
          <w:i/>
          <w:iCs/>
        </w:rPr>
        <w:t xml:space="preserve">Communications of the ACM</w:t>
      </w:r>
      <w:r>
        <w:t xml:space="preserve"> </w:t>
      </w:r>
      <w:r>
        <w:t xml:space="preserve">59 (3): 62–69.</w:t>
      </w:r>
      <w:r>
        <w:t xml:space="preserve"> </w:t>
      </w:r>
      <w:hyperlink r:id="rId76">
        <w:r>
          <w:rPr>
            <w:rStyle w:val="Hyperlink"/>
          </w:rPr>
          <w:t xml:space="preserve">https://doi.org/10.1145/2812803</w:t>
        </w:r>
      </w:hyperlink>
      <w:r>
        <w:t xml:space="preserve">.</w:t>
      </w:r>
    </w:p>
    <w:bookmarkEnd w:id="77"/>
    <w:bookmarkStart w:id="79" w:name="ref-dicosmoCuratedArchivingResearch2020"/>
    <w:p>
      <w:pPr>
        <w:pStyle w:val="Bibliography"/>
      </w:pPr>
      <w:r>
        <w:t xml:space="preserve">Di Cosmo, Roberto, Morane Gruenpeter, Bruno P Marmol, Alain Monteil, Laurent Romary, and Jozefina Sadowska. 2020.</w:t>
      </w:r>
      <w:r>
        <w:t xml:space="preserve"> </w:t>
      </w:r>
      <w:r>
        <w:t xml:space="preserve">“Curated Archiving of Research Software Artifacts : Lessons Learned from the French Open Archive (HAL).”</w:t>
      </w:r>
      <w:r>
        <w:t xml:space="preserve"> </w:t>
      </w:r>
      <w:r>
        <w:t xml:space="preserve">In</w:t>
      </w:r>
      <w:r>
        <w:t xml:space="preserve"> </w:t>
      </w:r>
      <w:r>
        <w:rPr>
          <w:i/>
          <w:iCs/>
        </w:rPr>
        <w:t xml:space="preserve">IDCC 2020 - International Digital Curation Conference</w:t>
      </w:r>
      <w:r>
        <w:t xml:space="preserve">. Dublin, Ireland.</w:t>
      </w:r>
      <w:r>
        <w:t xml:space="preserve"> </w:t>
      </w:r>
      <w:hyperlink r:id="rId78">
        <w:r>
          <w:rPr>
            <w:rStyle w:val="Hyperlink"/>
          </w:rPr>
          <w:t xml:space="preserve">https://doi.org/10.2218/ijdc.v15i1.698</w:t>
        </w:r>
      </w:hyperlink>
      <w:r>
        <w:t xml:space="preserve">.</w:t>
      </w:r>
    </w:p>
    <w:bookmarkEnd w:id="79"/>
    <w:bookmarkStart w:id="81" w:name="Xb3476393d908aacf4bdfd389e90b5e85d89cab1"/>
    <w:p>
      <w:pPr>
        <w:pStyle w:val="Bibliography"/>
      </w:pPr>
      <w:r>
        <w:t xml:space="preserve">Douglas Thain, Peter Ivie. 2015.</w:t>
      </w:r>
      <w:r>
        <w:t xml:space="preserve"> </w:t>
      </w:r>
      <w:r>
        <w:t xml:space="preserve">“Techniques for Preserving Scientific Software Executions: Preserve the Mess or Encourage Cleanliness?”</w:t>
      </w:r>
      <w:r>
        <w:t xml:space="preserve"> University of Notre Dame.</w:t>
      </w:r>
      <w:r>
        <w:t xml:space="preserve"> </w:t>
      </w:r>
      <w:hyperlink r:id="rId80">
        <w:r>
          <w:rPr>
            <w:rStyle w:val="Hyperlink"/>
          </w:rPr>
          <w:t xml:space="preserve">https://doi.org/10.7274/R0CZ353M</w:t>
        </w:r>
      </w:hyperlink>
      <w:r>
        <w:t xml:space="preserve">.</w:t>
      </w:r>
    </w:p>
    <w:bookmarkEnd w:id="81"/>
    <w:bookmarkStart w:id="83" w:name="X7d8f7fc528d16bc0f696bd9ba9cd46a4359ee92"/>
    <w:p>
      <w:pPr>
        <w:pStyle w:val="Bibliography"/>
      </w:pPr>
      <w:r>
        <w:t xml:space="preserve">Freire, Juliana, David Koop, Emanuele Santos, and Cláudio T. Silva. 2008.</w:t>
      </w:r>
      <w:r>
        <w:t xml:space="preserve"> </w:t>
      </w:r>
      <w:r>
        <w:t xml:space="preserve">“Provenance for Computational Tasks: A Survey.”</w:t>
      </w:r>
      <w:r>
        <w:t xml:space="preserve"> </w:t>
      </w:r>
      <w:r>
        <w:rPr>
          <w:i/>
          <w:iCs/>
        </w:rPr>
        <w:t xml:space="preserve">Computing in Science &amp; Engineering</w:t>
      </w:r>
      <w:r>
        <w:t xml:space="preserve"> </w:t>
      </w:r>
      <w:r>
        <w:t xml:space="preserve">10 (3): 11–21.</w:t>
      </w:r>
      <w:r>
        <w:t xml:space="preserve"> </w:t>
      </w:r>
      <w:hyperlink r:id="rId82">
        <w:r>
          <w:rPr>
            <w:rStyle w:val="Hyperlink"/>
          </w:rPr>
          <w:t xml:space="preserve">https://doi.org/10.1109/MCSE.2008.79</w:t>
        </w:r>
      </w:hyperlink>
      <w:r>
        <w:t xml:space="preserve">.</w:t>
      </w:r>
    </w:p>
    <w:bookmarkEnd w:id="83"/>
    <w:bookmarkStart w:id="85" w:name="ref-graysonBenchmarkSuitePerformance2024"/>
    <w:p>
      <w:pPr>
        <w:pStyle w:val="Bibliography"/>
      </w:pPr>
      <w:r>
        <w:t xml:space="preserve">Grayson, Samuel, Faustino Aguilar, Reed Milewicz, Daniel S. Katz, and Darko Marinov. 2024.</w:t>
      </w:r>
      <w:r>
        <w:t xml:space="preserve"> </w:t>
      </w:r>
      <w:r>
        <w:t xml:space="preserve">“A Benchmark Suite and Performance Analysis of User-Space Provenance Collectors.”</w:t>
      </w:r>
      <w:r>
        <w:t xml:space="preserve"> </w:t>
      </w:r>
      <w:r>
        <w:t xml:space="preserve">In</w:t>
      </w:r>
      <w:r>
        <w:t xml:space="preserve"> </w:t>
      </w:r>
      <w:r>
        <w:rPr>
          <w:i/>
          <w:iCs/>
        </w:rPr>
        <w:t xml:space="preserve">Proceedings of the 2nd ACM Conference on Reproducibility and Replicability</w:t>
      </w:r>
      <w:r>
        <w:t xml:space="preserve">, 85–95. Rennes France: ACM.</w:t>
      </w:r>
      <w:r>
        <w:t xml:space="preserve"> </w:t>
      </w:r>
      <w:hyperlink r:id="rId84">
        <w:r>
          <w:rPr>
            <w:rStyle w:val="Hyperlink"/>
          </w:rPr>
          <w:t xml:space="preserve">https://doi.org/10.1145/3641525.3663627</w:t>
        </w:r>
      </w:hyperlink>
      <w:r>
        <w:t xml:space="preserve">.</w:t>
      </w:r>
    </w:p>
    <w:bookmarkEnd w:id="85"/>
    <w:bookmarkStart w:id="87" w:name="X260d5a6bee0cbf4f2f838f5cf2697fc7e8243ee"/>
    <w:p>
      <w:pPr>
        <w:pStyle w:val="Bibliography"/>
      </w:pPr>
      <w:r>
        <w:t xml:space="preserve">Grayson, Samuel, Darko Marinov, Daniel S. Katz, and Reed Milewicz. 2023.</w:t>
      </w:r>
      <w:r>
        <w:t xml:space="preserve"> </w:t>
      </w:r>
      <w:r>
        <w:t xml:space="preserve">“Automatic Reproduction of Workflows in the Snakemake Workflow Catalog and Nf-Core Registries.”</w:t>
      </w:r>
      <w:r>
        <w:t xml:space="preserve"> </w:t>
      </w:r>
      <w:r>
        <w:t xml:space="preserve">In</w:t>
      </w:r>
      <w:r>
        <w:t xml:space="preserve"> </w:t>
      </w:r>
      <w:r>
        <w:rPr>
          <w:i/>
          <w:iCs/>
        </w:rPr>
        <w:t xml:space="preserve">Proceedings of the 2023 ACM Conference on Reproducibility and Replicability</w:t>
      </w:r>
      <w:r>
        <w:t xml:space="preserve">, 74–84. ACM REP ’23. New York, NY, USA: Association for Computing Machinery.</w:t>
      </w:r>
      <w:r>
        <w:t xml:space="preserve"> </w:t>
      </w:r>
      <w:hyperlink r:id="rId86">
        <w:r>
          <w:rPr>
            <w:rStyle w:val="Hyperlink"/>
          </w:rPr>
          <w:t xml:space="preserve">https://doi.org/10.1145/3589806.3600037</w:t>
        </w:r>
      </w:hyperlink>
      <w:r>
        <w:t xml:space="preserve">.</w:t>
      </w:r>
    </w:p>
    <w:bookmarkEnd w:id="87"/>
    <w:bookmarkStart w:id="89" w:name="ref-gundersenStateArtReproducibility2018"/>
    <w:p>
      <w:pPr>
        <w:pStyle w:val="Bibliography"/>
      </w:pPr>
      <w:r>
        <w:t xml:space="preserve">Gundersen, Odd Erik, and Sigbjørn Kjensmo. 2018.</w:t>
      </w:r>
      <w:r>
        <w:t xml:space="preserve"> </w:t>
      </w:r>
      <w:r>
        <w:t xml:space="preserve">“State of the Art: Reproducibility in Artificial Intelligence.”</w:t>
      </w:r>
      <w:r>
        <w:t xml:space="preserve"> </w:t>
      </w:r>
      <w:r>
        <w:rPr>
          <w:i/>
          <w:iCs/>
        </w:rPr>
        <w:t xml:space="preserve">Proceedings of the AAAI Conference on Artificial Intelligence</w:t>
      </w:r>
      <w:r>
        <w:t xml:space="preserve"> </w:t>
      </w:r>
      <w:r>
        <w:t xml:space="preserve">32 (1).</w:t>
      </w:r>
      <w:r>
        <w:t xml:space="preserve"> </w:t>
      </w:r>
      <w:hyperlink r:id="rId88">
        <w:r>
          <w:rPr>
            <w:rStyle w:val="Hyperlink"/>
          </w:rPr>
          <w:t xml:space="preserve">https://doi.org/10.1609/aaai.v32i1.11503</w:t>
        </w:r>
      </w:hyperlink>
      <w:r>
        <w:t xml:space="preserve">.</w:t>
      </w:r>
    </w:p>
    <w:bookmarkEnd w:id="89"/>
    <w:bookmarkStart w:id="91" w:name="Xf834afb6dbb08d2a6766f97a3e9170cbd6688f3"/>
    <w:p>
      <w:pPr>
        <w:pStyle w:val="Bibliography"/>
      </w:pPr>
      <w:r>
        <w:t xml:space="preserve">Heroux, Michael, Lorena Barba, Manish Parashar, Victoria Stodden, and Michela Taufer. 2018.</w:t>
      </w:r>
      <w:r>
        <w:t xml:space="preserve"> </w:t>
      </w:r>
      <w:r>
        <w:t xml:space="preserve">“Toward a Compatible Reproducibility Taxonomy for Computational and Computing Sciences.”</w:t>
      </w:r>
      <w:r>
        <w:t xml:space="preserve"> </w:t>
      </w:r>
      <w:r>
        <w:t xml:space="preserve">SAND–2018-11186, 1481626, 669580.</w:t>
      </w:r>
      <w:r>
        <w:t xml:space="preserve"> </w:t>
      </w:r>
      <w:hyperlink r:id="rId90">
        <w:r>
          <w:rPr>
            <w:rStyle w:val="Hyperlink"/>
          </w:rPr>
          <w:t xml:space="preserve">https://doi.org/10.2172/1481626</w:t>
        </w:r>
      </w:hyperlink>
      <w:r>
        <w:t xml:space="preserve">.</w:t>
      </w:r>
    </w:p>
    <w:bookmarkEnd w:id="91"/>
    <w:bookmarkStart w:id="93" w:name="ref-jupyterBinder20Reproducible2018"/>
    <w:p>
      <w:pPr>
        <w:pStyle w:val="Bibliography"/>
      </w:pPr>
      <w:r>
        <w:t xml:space="preserve">Jupyter, Project, Matthias Bussonnier, Jessica Forde, Jeremy Freeman, Brian Granger, Tim Head, Chris Holdgraf, et al. 2018.</w:t>
      </w:r>
      <w:r>
        <w:t xml:space="preserve"> </w:t>
      </w:r>
      <w:r>
        <w:t xml:space="preserve">“Binder 2.0 - Reproducible, Interactive, Sharable Environments for Science at Scale.”</w:t>
      </w:r>
      <w:r>
        <w:t xml:space="preserve"> </w:t>
      </w:r>
      <w:r>
        <w:t xml:space="preserve">In, 113–20. Austin, Texas.</w:t>
      </w:r>
      <w:r>
        <w:t xml:space="preserve"> </w:t>
      </w:r>
      <w:hyperlink r:id="rId92">
        <w:r>
          <w:rPr>
            <w:rStyle w:val="Hyperlink"/>
          </w:rPr>
          <w:t xml:space="preserve">https://doi.org/10.25080/Majora-4af1f417-011</w:t>
        </w:r>
      </w:hyperlink>
      <w:r>
        <w:t xml:space="preserve">.</w:t>
      </w:r>
    </w:p>
    <w:bookmarkEnd w:id="93"/>
    <w:bookmarkStart w:id="95" w:name="ref-keaheyLessonsLearnedChameleon2020"/>
    <w:p>
      <w:pPr>
        <w:pStyle w:val="Bibliography"/>
      </w:pPr>
      <w:r>
        <w:t xml:space="preserve">Keahey, Kate, Jason Anderson, Zhuo Zhen, Pierre Riteau, Paul Ruth, Dan Stanzione, Mert Cevik, et al. 2020.</w:t>
      </w:r>
      <w:r>
        <w:t xml:space="preserve"> </w:t>
      </w:r>
      <w:r>
        <w:t xml:space="preserve">“Lessons Learned from the Chameleon Testbed.”</w:t>
      </w:r>
      <w:r>
        <w:t xml:space="preserve"> </w:t>
      </w:r>
      <w:r>
        <w:t xml:space="preserve">In</w:t>
      </w:r>
      <w:r>
        <w:t xml:space="preserve"> </w:t>
      </w:r>
      <w:r>
        <w:rPr>
          <w:i/>
          <w:iCs/>
        </w:rPr>
        <w:t xml:space="preserve">2020 USENIX Anuual Technical Conference</w:t>
      </w:r>
      <w:r>
        <w:t xml:space="preserve">. USENIX.</w:t>
      </w:r>
      <w:r>
        <w:t xml:space="preserve"> </w:t>
      </w:r>
      <w:hyperlink r:id="rId94">
        <w:r>
          <w:rPr>
            <w:rStyle w:val="Hyperlink"/>
          </w:rPr>
          <w:t xml:space="preserve">https://www.usenix.org/conference/atc20/presentation/keahey</w:t>
        </w:r>
      </w:hyperlink>
      <w:r>
        <w:t xml:space="preserve">.</w:t>
      </w:r>
    </w:p>
    <w:bookmarkEnd w:id="95"/>
    <w:bookmarkStart w:id="97" w:name="ref-knuthLiterateProgramming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96">
        <w:r>
          <w:rPr>
            <w:rStyle w:val="Hyperlink"/>
          </w:rPr>
          <w:t xml:space="preserve">https://doi.org/10.1093/comjnl/27.2.97</w:t>
        </w:r>
      </w:hyperlink>
      <w:r>
        <w:t xml:space="preserve">.</w:t>
      </w:r>
    </w:p>
    <w:bookmarkEnd w:id="97"/>
    <w:bookmarkStart w:id="99" w:name="X2391005b10b6635bf74e68d9c7e8089aa39610f"/>
    <w:p>
      <w:pPr>
        <w:pStyle w:val="Bibliography"/>
      </w:pPr>
      <w:r>
        <w:t xml:space="preserve">Krafczyk, M. S., A. Shi, A. Bhaskar, D. Marinov, and V. Stodden. 2021.</w:t>
      </w:r>
      <w:r>
        <w:t xml:space="preserve"> </w:t>
      </w:r>
      <w:r>
        <w:t xml:space="preserve">“Learning from Reproducing Computational Results: Introducing Three Principles and the Reproduction Package.”</w:t>
      </w:r>
      <w:r>
        <w:t xml:space="preserve"> </w:t>
      </w:r>
      <w:r>
        <w:rPr>
          <w:i/>
          <w:iCs/>
        </w:rPr>
        <w:t xml:space="preserve">Philosophical Transactions of the Royal Society A: Mathematical, Physical and Engineering Sciences</w:t>
      </w:r>
      <w:r>
        <w:t xml:space="preserve"> </w:t>
      </w:r>
      <w:r>
        <w:t xml:space="preserve">379 (2197): 20200069.</w:t>
      </w:r>
      <w:r>
        <w:t xml:space="preserve"> </w:t>
      </w:r>
      <w:hyperlink r:id="rId98">
        <w:r>
          <w:rPr>
            <w:rStyle w:val="Hyperlink"/>
          </w:rPr>
          <w:t xml:space="preserve">https://doi.org/10.1098/rsta.2020.0069</w:t>
        </w:r>
      </w:hyperlink>
      <w:r>
        <w:t xml:space="preserve">.</w:t>
      </w:r>
    </w:p>
    <w:bookmarkEnd w:id="99"/>
    <w:bookmarkStart w:id="101" w:name="ref-liuSurveyDataIntensiveScientific2015"/>
    <w:p>
      <w:pPr>
        <w:pStyle w:val="Bibliography"/>
      </w:pPr>
      <w:r>
        <w:t xml:space="preserve">Liu, Ji, Esther Pacitti, Patrick Valduriez, and Marta Mattoso. 2015.</w:t>
      </w:r>
      <w:r>
        <w:t xml:space="preserve"> </w:t>
      </w:r>
      <w:r>
        <w:t xml:space="preserve">“A Survey of Data-Intensive Scientific Workflow Management.”</w:t>
      </w:r>
      <w:r>
        <w:t xml:space="preserve"> </w:t>
      </w:r>
      <w:r>
        <w:rPr>
          <w:i/>
          <w:iCs/>
        </w:rPr>
        <w:t xml:space="preserve">Journal of Grid Computing</w:t>
      </w:r>
      <w:r>
        <w:t xml:space="preserve"> </w:t>
      </w:r>
      <w:r>
        <w:t xml:space="preserve">13 (4): 457–93.</w:t>
      </w:r>
      <w:r>
        <w:t xml:space="preserve"> </w:t>
      </w:r>
      <w:hyperlink r:id="rId100">
        <w:r>
          <w:rPr>
            <w:rStyle w:val="Hyperlink"/>
          </w:rPr>
          <w:t xml:space="preserve">https://doi.org/10.1007/s10723-015-9329-8</w:t>
        </w:r>
      </w:hyperlink>
      <w:r>
        <w:t xml:space="preserve">.</w:t>
      </w:r>
    </w:p>
    <w:bookmarkEnd w:id="101"/>
    <w:bookmarkStart w:id="103" w:name="X6aaff6a38e12d1abcad02f4cec1f8f682577890"/>
    <w:p>
      <w:pPr>
        <w:pStyle w:val="Bibliography"/>
      </w:pPr>
      <w:r>
        <w:t xml:space="preserve">McPhillips, Timothy, Shawn Bowers, Daniel Zinn, and Bertram Ludäscher. 2009.</w:t>
      </w:r>
      <w:r>
        <w:t xml:space="preserve"> </w:t>
      </w:r>
      <w:r>
        <w:t xml:space="preserve">“Scientific Workflow Design for Mere Mortals.”</w:t>
      </w:r>
      <w:r>
        <w:t xml:space="preserve"> </w:t>
      </w:r>
      <w:r>
        <w:rPr>
          <w:i/>
          <w:iCs/>
        </w:rPr>
        <w:t xml:space="preserve">Future Generation Computer Systems</w:t>
      </w:r>
      <w:r>
        <w:t xml:space="preserve"> </w:t>
      </w:r>
      <w:r>
        <w:t xml:space="preserve">25 (5): 541–51.</w:t>
      </w:r>
      <w:r>
        <w:t xml:space="preserve"> </w:t>
      </w:r>
      <w:hyperlink r:id="rId102">
        <w:r>
          <w:rPr>
            <w:rStyle w:val="Hyperlink"/>
          </w:rPr>
          <w:t xml:space="preserve">https://doi.org/10.1016/j.future.2008.06.013</w:t>
        </w:r>
      </w:hyperlink>
      <w:r>
        <w:t xml:space="preserve">.</w:t>
      </w:r>
    </w:p>
    <w:bookmarkEnd w:id="103"/>
    <w:bookmarkStart w:id="105" w:name="ref-molderSustainableDataAnalysis2021"/>
    <w:p>
      <w:pPr>
        <w:pStyle w:val="Bibliography"/>
      </w:pPr>
      <w:r>
        <w:t xml:space="preserve">Mölder, Felix, Kim Philipp Jablonski, Brice Letcher, Michael B. Hall, Christopher H. Tomkins-Tinch, Vanessa Sochat, Jan Forster, et al. 2021.</w:t>
      </w:r>
      <w:r>
        <w:t xml:space="preserve"> </w:t>
      </w:r>
      <w:r>
        <w:t xml:space="preserve">“Sustainable Data Analysis with Snakemake.”</w:t>
      </w:r>
      <w:r>
        <w:t xml:space="preserve"> </w:t>
      </w:r>
      <w:r>
        <w:t xml:space="preserve">F1000Research.</w:t>
      </w:r>
      <w:r>
        <w:t xml:space="preserve"> </w:t>
      </w:r>
      <w:hyperlink r:id="rId104">
        <w:r>
          <w:rPr>
            <w:rStyle w:val="Hyperlink"/>
          </w:rPr>
          <w:t xml:space="preserve">https://doi.org/10.12688/f1000research.29032.2</w:t>
        </w:r>
      </w:hyperlink>
      <w:r>
        <w:t xml:space="preserve">.</w:t>
      </w:r>
    </w:p>
    <w:bookmarkEnd w:id="105"/>
    <w:bookmarkStart w:id="107" w:name="ref-moreauSpecialIssueFirst2008"/>
    <w:p>
      <w:pPr>
        <w:pStyle w:val="Bibliography"/>
      </w:pPr>
      <w:r>
        <w:t xml:space="preserve">Moreau, Luc, Bertram Ludäscher, Ilkay Altintas, Roger S. Barga, Shawn Bowers, Steven Callahan, George Chin, et al. 2008.</w:t>
      </w:r>
      <w:r>
        <w:t xml:space="preserve"> </w:t>
      </w:r>
      <w:r>
        <w:t xml:space="preserve">“Special Issue: The First Provenance Challenge.”</w:t>
      </w:r>
      <w:r>
        <w:t xml:space="preserve"> </w:t>
      </w:r>
      <w:r>
        <w:rPr>
          <w:i/>
          <w:iCs/>
        </w:rPr>
        <w:t xml:space="preserve">Concurrency and Computation: Practice and Experience</w:t>
      </w:r>
      <w:r>
        <w:t xml:space="preserve"> </w:t>
      </w:r>
      <w:r>
        <w:t xml:space="preserve">20 (5): 409–18.</w:t>
      </w:r>
      <w:r>
        <w:t xml:space="preserve"> </w:t>
      </w:r>
      <w:hyperlink r:id="rId106">
        <w:r>
          <w:rPr>
            <w:rStyle w:val="Hyperlink"/>
          </w:rPr>
          <w:t xml:space="preserve">https://doi.org/10.1002/cpe.1233</w:t>
        </w:r>
      </w:hyperlink>
      <w:r>
        <w:t xml:space="preserve">.</w:t>
      </w:r>
    </w:p>
    <w:bookmarkEnd w:id="107"/>
    <w:bookmarkStart w:id="109" w:name="ref-demorlhonScalingDockersBusiness2020"/>
    <w:p>
      <w:pPr>
        <w:pStyle w:val="Bibliography"/>
      </w:pPr>
      <w:r>
        <w:t xml:space="preserve">Morlhon, Jean-Laurent de. 2020a.</w:t>
      </w:r>
      <w:r>
        <w:t xml:space="preserve"> </w:t>
      </w:r>
      <w:r>
        <w:t xml:space="preserve">“Scaling Docker’s Business to Serve Millions More Developers: Storage.”</w:t>
      </w:r>
      <w:r>
        <w:t xml:space="preserve"> </w:t>
      </w:r>
      <w:r>
        <w:rPr>
          <w:i/>
          <w:iCs/>
        </w:rPr>
        <w:t xml:space="preserve">Docker Blog</w:t>
      </w:r>
      <w:r>
        <w:t xml:space="preserve"> </w:t>
      </w:r>
      <w:r>
        <w:t xml:space="preserve">(blog). August 24, 2020.</w:t>
      </w:r>
      <w:r>
        <w:t xml:space="preserve"> </w:t>
      </w:r>
      <w:hyperlink r:id="rId108">
        <w:r>
          <w:rPr>
            <w:rStyle w:val="Hyperlink"/>
          </w:rPr>
          <w:t xml:space="preserve">https://www.docker.com/blog/scaling-dockers-business-to-serve-millions-more-developers-storage/</w:t>
        </w:r>
      </w:hyperlink>
      <w:r>
        <w:t xml:space="preserve">.</w:t>
      </w:r>
    </w:p>
    <w:bookmarkEnd w:id="109"/>
    <w:bookmarkStart w:id="111" w:name="ref-demorlhonDockerHubImage2020"/>
    <w:p>
      <w:pPr>
        <w:pStyle w:val="Bibliography"/>
      </w:pPr>
      <w:r>
        <w:t xml:space="preserve">———. 2020b.</w:t>
      </w:r>
      <w:r>
        <w:t xml:space="preserve"> </w:t>
      </w:r>
      <w:r>
        <w:t xml:space="preserve">“Docker Hub Image Retention Policy Delayed, Subscription Updates.”</w:t>
      </w:r>
      <w:r>
        <w:t xml:space="preserve"> </w:t>
      </w:r>
      <w:r>
        <w:rPr>
          <w:i/>
          <w:iCs/>
        </w:rPr>
        <w:t xml:space="preserve">Docker Blog</w:t>
      </w:r>
      <w:r>
        <w:t xml:space="preserve"> </w:t>
      </w:r>
      <w:r>
        <w:t xml:space="preserve">(blog). October 22, 2020.</w:t>
      </w:r>
      <w:r>
        <w:t xml:space="preserve"> </w:t>
      </w:r>
      <w:hyperlink r:id="rId110">
        <w:r>
          <w:rPr>
            <w:rStyle w:val="Hyperlink"/>
          </w:rPr>
          <w:t xml:space="preserve">https://www.docker.com/blog/docker-hub-image-retention-policy-delayed-and-subscription-updates/</w:t>
        </w:r>
      </w:hyperlink>
      <w:r>
        <w:t xml:space="preserve">.</w:t>
      </w:r>
    </w:p>
    <w:bookmarkEnd w:id="111"/>
    <w:bookmarkStart w:id="113" w:name="Xf9d690b9ded41d56c840b0a014bab08166e4c79"/>
    <w:p>
      <w:pPr>
        <w:pStyle w:val="Bibliography"/>
      </w:pPr>
      <w:r>
        <w:t xml:space="preserve">Murta, Leonardo, Vanessa Braganholo, Fernando Chirigati, David Koop, and Juliana Freire. 2015.</w:t>
      </w:r>
      <w:r>
        <w:t xml:space="preserve"> </w:t>
      </w:r>
      <w:r>
        <w:t xml:space="preserve">“noWorkflow: Capturing and Analyzing Provenance of Scripts.”</w:t>
      </w:r>
      <w:r>
        <w:t xml:space="preserve"> </w:t>
      </w:r>
      <w:r>
        <w:t xml:space="preserve">In</w:t>
      </w:r>
      <w:r>
        <w:t xml:space="preserve"> </w:t>
      </w:r>
      <w:r>
        <w:rPr>
          <w:i/>
          <w:iCs/>
        </w:rPr>
        <w:t xml:space="preserve">Provenance and Annotation of Data and Processes</w:t>
      </w:r>
      <w:r>
        <w:t xml:space="preserve">, edited by Bertram Ludäscher and Beth Plale, 71–83. Lecture Notes in Computer Science. Cham: Springer International Publishing.</w:t>
      </w:r>
      <w:r>
        <w:t xml:space="preserve"> </w:t>
      </w:r>
      <w:hyperlink r:id="rId112">
        <w:r>
          <w:rPr>
            <w:rStyle w:val="Hyperlink"/>
          </w:rPr>
          <w:t xml:space="preserve">https://doi.org/10.1007/978-3-319-16462-5_6</w:t>
        </w:r>
      </w:hyperlink>
      <w:r>
        <w:t xml:space="preserve">.</w:t>
      </w:r>
    </w:p>
    <w:bookmarkEnd w:id="113"/>
    <w:bookmarkStart w:id="115" w:name="X2bfa53293bd4839295a6fd99cfaa30edbad80f3"/>
    <w:p>
      <w:pPr>
        <w:pStyle w:val="Bibliography"/>
      </w:pPr>
      <w:r>
        <w:t xml:space="preserve">Nowakowski, Piotr, Eryk Ciepiela, Daniel Harężlak, Joanna Kocot, Marek Kasztelnik, Tomasz Bartyński, Jan Meizner, Grzegorz Dyk, and Maciej Malawski. 2011.</w:t>
      </w:r>
      <w:r>
        <w:t xml:space="preserve"> </w:t>
      </w:r>
      <w:r>
        <w:t xml:space="preserve">“The Collage Authoring Environment.”</w:t>
      </w:r>
      <w:r>
        <w:t xml:space="preserve"> </w:t>
      </w:r>
      <w:r>
        <w:rPr>
          <w:i/>
          <w:iCs/>
        </w:rPr>
        <w:t xml:space="preserve">Procedia Computer Science</w:t>
      </w:r>
      <w:r>
        <w:t xml:space="preserve"> </w:t>
      </w:r>
      <w:r>
        <w:t xml:space="preserve">4: 608–17.</w:t>
      </w:r>
      <w:r>
        <w:t xml:space="preserve"> </w:t>
      </w:r>
      <w:hyperlink r:id="rId114">
        <w:r>
          <w:rPr>
            <w:rStyle w:val="Hyperlink"/>
          </w:rPr>
          <w:t xml:space="preserve">https://doi.org/10.1016/j.procs.2011.04.064</w:t>
        </w:r>
      </w:hyperlink>
      <w:r>
        <w:t xml:space="preserve">.</w:t>
      </w:r>
    </w:p>
    <w:bookmarkEnd w:id="115"/>
    <w:bookmarkStart w:id="117" w:name="X52372a72f4bf482ce635b693f148140a0b888de"/>
    <w:p>
      <w:pPr>
        <w:pStyle w:val="Bibliography"/>
      </w:pPr>
      <w:r>
        <w:t xml:space="preserve">Peters, Kristian, James Bradbury, Sven Bergmann, Marco Capuccini, Marta Cascante, Pedro de Atauri, Timothy M D Ebbels, et al. 2019.</w:t>
      </w:r>
      <w:r>
        <w:t xml:space="preserve"> </w:t>
      </w:r>
      <w:r>
        <w:t xml:space="preserve">“PhenoMeNal: Processing and Analysis of Metabolomics Data in the Cloud.”</w:t>
      </w:r>
      <w:r>
        <w:t xml:space="preserve"> </w:t>
      </w:r>
      <w:r>
        <w:rPr>
          <w:i/>
          <w:iCs/>
        </w:rPr>
        <w:t xml:space="preserve">GigaScience</w:t>
      </w:r>
      <w:r>
        <w:t xml:space="preserve"> </w:t>
      </w:r>
      <w:r>
        <w:t xml:space="preserve">8 (2).</w:t>
      </w:r>
      <w:r>
        <w:t xml:space="preserve"> </w:t>
      </w:r>
      <w:hyperlink r:id="rId116">
        <w:r>
          <w:rPr>
            <w:rStyle w:val="Hyperlink"/>
          </w:rPr>
          <w:t xml:space="preserve">https://doi.org/10.1093/gigascience/giy149</w:t>
        </w:r>
      </w:hyperlink>
      <w:r>
        <w:t xml:space="preserve">.</w:t>
      </w:r>
    </w:p>
    <w:bookmarkEnd w:id="117"/>
    <w:bookmarkStart w:id="119" w:name="ref-pimentelLargeScaleStudyQuality2019"/>
    <w:p>
      <w:pPr>
        <w:pStyle w:val="Bibliography"/>
      </w:pPr>
      <w:r>
        <w:t xml:space="preserve">Pimentel, João Felipe, Leonardo Murta, Vanessa Braganholo, and Juliana Freire. 2019.</w:t>
      </w:r>
      <w:r>
        <w:t xml:space="preserve"> </w:t>
      </w:r>
      <w:r>
        <w:t xml:space="preserve">“A Large-Scale Study About Quality and Reproducibility of Jupyter Notebooks.”</w:t>
      </w:r>
      <w:r>
        <w:t xml:space="preserve"> </w:t>
      </w:r>
      <w:r>
        <w:t xml:space="preserve">In</w:t>
      </w:r>
      <w:r>
        <w:t xml:space="preserve"> </w:t>
      </w:r>
      <w:r>
        <w:rPr>
          <w:i/>
          <w:iCs/>
        </w:rPr>
        <w:t xml:space="preserve">Proceedings of the 16th International Conference on Mining Software Repositories</w:t>
      </w:r>
      <w:r>
        <w:t xml:space="preserve">, 507–17. MSR ’19. Montreal, Quebec, Canada: IEEE Press.</w:t>
      </w:r>
      <w:r>
        <w:t xml:space="preserve"> </w:t>
      </w:r>
      <w:hyperlink r:id="rId118">
        <w:r>
          <w:rPr>
            <w:rStyle w:val="Hyperlink"/>
          </w:rPr>
          <w:t xml:space="preserve">https://doi.org/10.1109/MSR.2019.00077</w:t>
        </w:r>
      </w:hyperlink>
      <w:r>
        <w:t xml:space="preserve">.</w:t>
      </w:r>
    </w:p>
    <w:bookmarkEnd w:id="119"/>
    <w:bookmarkStart w:id="121" w:name="Xc89a2969749ec52769ae34141e86d1106868587"/>
    <w:p>
      <w:pPr>
        <w:pStyle w:val="Bibliography"/>
      </w:pPr>
      <w:r>
        <w:t xml:space="preserve">Plesser, Hans E. 2018.</w:t>
      </w:r>
      <w:r>
        <w:t xml:space="preserve"> </w:t>
      </w:r>
      <w:r>
        <w:t xml:space="preserve">“Reproducibility Vs. Replicability: A Brief History of a Confused Terminology.”</w:t>
      </w:r>
      <w:r>
        <w:t xml:space="preserve"> </w:t>
      </w:r>
      <w:r>
        <w:rPr>
          <w:i/>
          <w:iCs/>
        </w:rPr>
        <w:t xml:space="preserve">Frontiers in Neuroinformatics</w:t>
      </w:r>
      <w:r>
        <w:t xml:space="preserve"> </w:t>
      </w:r>
      <w:r>
        <w:t xml:space="preserve">11.</w:t>
      </w:r>
      <w:r>
        <w:t xml:space="preserve"> </w:t>
      </w:r>
      <w:hyperlink r:id="rId120">
        <w:r>
          <w:rPr>
            <w:rStyle w:val="Hyperlink"/>
          </w:rPr>
          <w:t xml:space="preserve">https://www.frontiersin.org/articles/10.3389/fninf.2017.00076</w:t>
        </w:r>
      </w:hyperlink>
      <w:r>
        <w:t xml:space="preserve">.</w:t>
      </w:r>
    </w:p>
    <w:bookmarkEnd w:id="121"/>
    <w:bookmarkStart w:id="123" w:name="ref-reichGenePattern202006"/>
    <w:p>
      <w:pPr>
        <w:pStyle w:val="Bibliography"/>
      </w:pPr>
      <w:r>
        <w:t xml:space="preserve">Reich, Michael, Ted Liefeld, Joshua Gould, Jim Lerner, Pablo Tamayo, and Jill P Mesirov. 2006.</w:t>
      </w:r>
      <w:r>
        <w:t xml:space="preserve"> </w:t>
      </w:r>
      <w:r>
        <w:t xml:space="preserve">“GenePattern 2.0.”</w:t>
      </w:r>
      <w:r>
        <w:t xml:space="preserve"> </w:t>
      </w:r>
      <w:r>
        <w:rPr>
          <w:i/>
          <w:iCs/>
        </w:rPr>
        <w:t xml:space="preserve">Nature Genetics</w:t>
      </w:r>
      <w:r>
        <w:t xml:space="preserve"> </w:t>
      </w:r>
      <w:r>
        <w:t xml:space="preserve">38 (5): 500–501.</w:t>
      </w:r>
      <w:r>
        <w:t xml:space="preserve"> </w:t>
      </w:r>
      <w:hyperlink r:id="rId122">
        <w:r>
          <w:rPr>
            <w:rStyle w:val="Hyperlink"/>
          </w:rPr>
          <w:t xml:space="preserve">https://doi.org/10.1038/ng0506-500</w:t>
        </w:r>
      </w:hyperlink>
      <w:r>
        <w:t xml:space="preserve">.</w:t>
      </w:r>
    </w:p>
    <w:bookmarkEnd w:id="123"/>
    <w:bookmarkStart w:id="125" w:name="X099b953cf5373cb530d9d440840ff13ec16b924"/>
    <w:p>
      <w:pPr>
        <w:pStyle w:val="Bibliography"/>
      </w:pPr>
      <w:r>
        <w:t xml:space="preserve">Rougier, Nicolas P., Konrad Hinsen, Frédéric Alexandre, Thomas Arildsen, Lorena Barba, Fabien C. Y. Benureau, C. Titus Brown, et al. 2017.</w:t>
      </w:r>
      <w:r>
        <w:t xml:space="preserve"> </w:t>
      </w:r>
      <w:r>
        <w:t xml:space="preserve">“Sustainable Computational Science: The ReScience Initiative.”</w:t>
      </w:r>
      <w:r>
        <w:t xml:space="preserve"> </w:t>
      </w:r>
      <w:r>
        <w:rPr>
          <w:i/>
          <w:iCs/>
        </w:rPr>
        <w:t xml:space="preserve">PeerJ Computer Science</w:t>
      </w:r>
      <w:r>
        <w:t xml:space="preserve"> </w:t>
      </w:r>
      <w:r>
        <w:t xml:space="preserve">3 (December): e142.</w:t>
      </w:r>
      <w:r>
        <w:t xml:space="preserve"> </w:t>
      </w:r>
      <w:hyperlink r:id="rId124">
        <w:r>
          <w:rPr>
            <w:rStyle w:val="Hyperlink"/>
          </w:rPr>
          <w:t xml:space="preserve">https://doi.org/10.7717/peerj-cs.142</w:t>
        </w:r>
      </w:hyperlink>
      <w:r>
        <w:t xml:space="preserve">.</w:t>
      </w:r>
    </w:p>
    <w:bookmarkEnd w:id="125"/>
    <w:bookmarkStart w:id="127" w:name="ref-siciliaCommunityCurationOpen2017"/>
    <w:p>
      <w:pPr>
        <w:pStyle w:val="Bibliography"/>
      </w:pPr>
      <w:r>
        <w:t xml:space="preserve">Sicilia, Miguel-Angel, Elena García-Barriocanal, and Salvador Sánchez-Alonso. 2017.</w:t>
      </w:r>
      <w:r>
        <w:t xml:space="preserve"> </w:t>
      </w:r>
      <w:r>
        <w:t xml:space="preserve">“Community Curation in Open Dataset Repositories: Insights from Zenodo.”</w:t>
      </w:r>
      <w:r>
        <w:t xml:space="preserve"> </w:t>
      </w:r>
      <w:r>
        <w:rPr>
          <w:i/>
          <w:iCs/>
        </w:rPr>
        <w:t xml:space="preserve">Procedia Computer Science</w:t>
      </w:r>
      <w:r>
        <w:t xml:space="preserve"> </w:t>
      </w:r>
      <w:r>
        <w:t xml:space="preserve">106: 54–60.</w:t>
      </w:r>
      <w:r>
        <w:t xml:space="preserve"> </w:t>
      </w:r>
      <w:hyperlink r:id="rId126">
        <w:r>
          <w:rPr>
            <w:rStyle w:val="Hyperlink"/>
          </w:rPr>
          <w:t xml:space="preserve">https://doi.org/10.1016/j.procs.2017.03.009</w:t>
        </w:r>
      </w:hyperlink>
      <w:r>
        <w:t xml:space="preserve">.</w:t>
      </w:r>
    </w:p>
    <w:bookmarkEnd w:id="127"/>
    <w:bookmarkStart w:id="129" w:name="ref-singhFigShare2011"/>
    <w:p>
      <w:pPr>
        <w:pStyle w:val="Bibliography"/>
      </w:pPr>
      <w:r>
        <w:t xml:space="preserve">Singh, Jatinder. 2011.</w:t>
      </w:r>
      <w:r>
        <w:t xml:space="preserve"> </w:t>
      </w:r>
      <w:r>
        <w:t xml:space="preserve">“FigShare.”</w:t>
      </w:r>
      <w:r>
        <w:t xml:space="preserve"> </w:t>
      </w:r>
      <w:r>
        <w:rPr>
          <w:i/>
          <w:iCs/>
        </w:rPr>
        <w:t xml:space="preserve">Journal of Pharmacology and Pharmacotherapeutics</w:t>
      </w:r>
      <w:r>
        <w:t xml:space="preserve"> </w:t>
      </w:r>
      <w:r>
        <w:t xml:space="preserve">2 (2): 138–39.</w:t>
      </w:r>
      <w:r>
        <w:t xml:space="preserve"> </w:t>
      </w:r>
      <w:hyperlink r:id="rId128">
        <w:r>
          <w:rPr>
            <w:rStyle w:val="Hyperlink"/>
          </w:rPr>
          <w:t xml:space="preserve">https://doi.org/10.4103/0976-500X.81919</w:t>
        </w:r>
      </w:hyperlink>
      <w:r>
        <w:t xml:space="preserve">.</w:t>
      </w:r>
    </w:p>
    <w:bookmarkEnd w:id="129"/>
    <w:bookmarkStart w:id="131" w:name="X87aa36c4a44e9b48bf0565ecedfbb11d7eb775b"/>
    <w:p>
      <w:pPr>
        <w:pStyle w:val="Bibliography"/>
      </w:pPr>
      <w:r>
        <w:t xml:space="preserve">Stodden, Victoria, Christophe Hurlin, and Christophe Perignon. 2012.</w:t>
      </w:r>
      <w:r>
        <w:t xml:space="preserve"> </w:t>
      </w:r>
      <w:r>
        <w:t xml:space="preserve">“RunMyCode.org: A Novel Dissemination and Collaboration Platform for Executing Published Computational Results.”</w:t>
      </w:r>
      <w:r>
        <w:t xml:space="preserve"> </w:t>
      </w:r>
      <w:r>
        <w:t xml:space="preserve">In</w:t>
      </w:r>
      <w:r>
        <w:t xml:space="preserve"> </w:t>
      </w:r>
      <w:r>
        <w:rPr>
          <w:i/>
          <w:iCs/>
        </w:rPr>
        <w:t xml:space="preserve">2012 IEEE 8th International Conference on E-Science</w:t>
      </w:r>
      <w:r>
        <w:t xml:space="preserve">, 1–8. Chicago, IL, USA: IEEE.</w:t>
      </w:r>
      <w:r>
        <w:t xml:space="preserve"> </w:t>
      </w:r>
      <w:hyperlink r:id="rId130">
        <w:r>
          <w:rPr>
            <w:rStyle w:val="Hyperlink"/>
          </w:rPr>
          <w:t xml:space="preserve">https://doi.org/10.1109/eScience.2012.6404455</w:t>
        </w:r>
      </w:hyperlink>
      <w:r>
        <w:t xml:space="preserve">.</w:t>
      </w:r>
    </w:p>
    <w:bookmarkEnd w:id="131"/>
    <w:bookmarkStart w:id="133" w:name="X97f14d4e4e2a05c74862c3cc760f7170e8b7227"/>
    <w:p>
      <w:pPr>
        <w:pStyle w:val="Bibliography"/>
      </w:pPr>
      <w:r>
        <w:t xml:space="preserve">The Galaxy Community, Linelle Ann L Abueg, Enis Afgan, Olivier Allart, Ahmed H Awan, Wendi A Bacon, Dannon Baker, et al. 2024.</w:t>
      </w:r>
      <w:r>
        <w:t xml:space="preserve"> </w:t>
      </w:r>
      <w:r>
        <w:t xml:space="preserve">“The Galaxy Platform for Accessible, Reproducible, and Collaborative Data Analyses: 2024 Update.”</w:t>
      </w:r>
      <w:r>
        <w:t xml:space="preserve"> </w:t>
      </w:r>
      <w:r>
        <w:rPr>
          <w:i/>
          <w:iCs/>
        </w:rPr>
        <w:t xml:space="preserve">Nucleic Acids Research</w:t>
      </w:r>
      <w:r>
        <w:t xml:space="preserve"> </w:t>
      </w:r>
      <w:r>
        <w:t xml:space="preserve">52 (W1): W83–94.</w:t>
      </w:r>
      <w:r>
        <w:t xml:space="preserve"> </w:t>
      </w:r>
      <w:hyperlink r:id="rId132">
        <w:r>
          <w:rPr>
            <w:rStyle w:val="Hyperlink"/>
          </w:rPr>
          <w:t xml:space="preserve">https://doi.org/10.1093/nar/gkae410</w:t>
        </w:r>
      </w:hyperlink>
      <w:r>
        <w:t xml:space="preserve">.</w:t>
      </w:r>
    </w:p>
    <w:bookmarkEnd w:id="133"/>
    <w:bookmarkStart w:id="135" w:name="ref-trisovicLargescaleStudyResearch2022"/>
    <w:p>
      <w:pPr>
        <w:pStyle w:val="Bibliography"/>
      </w:pPr>
      <w:r>
        <w:t xml:space="preserve">Trisovic, Ana, Matthew K. Lau, Thomas Pasquier, and Mercè Crosas. 2022.</w:t>
      </w:r>
      <w:r>
        <w:t xml:space="preserve"> </w:t>
      </w:r>
      <w:r>
        <w:t xml:space="preserve">“A Large-Scale Study on Research Code Quality and Execution.”</w:t>
      </w:r>
      <w:r>
        <w:t xml:space="preserve"> </w:t>
      </w:r>
      <w:r>
        <w:rPr>
          <w:i/>
          <w:iCs/>
        </w:rPr>
        <w:t xml:space="preserve">Scientific Data</w:t>
      </w:r>
      <w:r>
        <w:t xml:space="preserve"> </w:t>
      </w:r>
      <w:r>
        <w:t xml:space="preserve">9 (1): 60.</w:t>
      </w:r>
      <w:r>
        <w:t xml:space="preserve"> </w:t>
      </w:r>
      <w:hyperlink r:id="rId134">
        <w:r>
          <w:rPr>
            <w:rStyle w:val="Hyperlink"/>
          </w:rPr>
          <w:t xml:space="preserve">https://doi.org/10.1038/s41597-022-01143-6</w:t>
        </w:r>
      </w:hyperlink>
      <w:r>
        <w:t xml:space="preserve">.</w:t>
      </w:r>
    </w:p>
    <w:bookmarkEnd w:id="135"/>
    <w:bookmarkStart w:id="137" w:name="ref-vangorpSHAREWebPortal2011"/>
    <w:p>
      <w:pPr>
        <w:pStyle w:val="Bibliography"/>
      </w:pPr>
      <w:r>
        <w:t xml:space="preserve">Van Gorp, Pieter, and Steffen Mazanek. 2011.</w:t>
      </w:r>
      <w:r>
        <w:t xml:space="preserve"> </w:t>
      </w:r>
      <w:r>
        <w:t xml:space="preserve">“SHARE: A Web Portal for Creating and Sharing Executable Research Papers.”</w:t>
      </w:r>
      <w:r>
        <w:t xml:space="preserve"> </w:t>
      </w:r>
      <w:r>
        <w:rPr>
          <w:i/>
          <w:iCs/>
        </w:rPr>
        <w:t xml:space="preserve">Procedia Computer Science</w:t>
      </w:r>
      <w:r>
        <w:t xml:space="preserve"> </w:t>
      </w:r>
      <w:r>
        <w:t xml:space="preserve">4: 589–97.</w:t>
      </w:r>
      <w:r>
        <w:t xml:space="preserve"> </w:t>
      </w:r>
      <w:hyperlink r:id="rId136">
        <w:r>
          <w:rPr>
            <w:rStyle w:val="Hyperlink"/>
          </w:rPr>
          <w:t xml:space="preserve">https://doi.org/10.1016/j.procs.2011.04.062</w:t>
        </w:r>
      </w:hyperlink>
      <w:r>
        <w:t xml:space="preserve">.</w:t>
      </w:r>
    </w:p>
    <w:bookmarkEnd w:id="137"/>
    <w:bookmarkStart w:id="139" w:name="X7164f8f863c29fd9aa5aaad3dadab534da5b042"/>
    <w:p>
      <w:pPr>
        <w:pStyle w:val="Bibliography"/>
      </w:pPr>
      <w:r>
        <w:t xml:space="preserve">Vandewalle, Patrick, Jelena Kovacevic, and Martin Vetterli. 2009.</w:t>
      </w:r>
      <w:r>
        <w:t xml:space="preserve"> </w:t>
      </w:r>
      <w:r>
        <w:t xml:space="preserve">“Reproducible Research in Signal Processing.”</w:t>
      </w:r>
      <w:r>
        <w:t xml:space="preserve"> </w:t>
      </w:r>
      <w:r>
        <w:rPr>
          <w:i/>
          <w:iCs/>
        </w:rPr>
        <w:t xml:space="preserve">IEEE Signal Processing Magazine</w:t>
      </w:r>
      <w:r>
        <w:t xml:space="preserve"> </w:t>
      </w:r>
      <w:r>
        <w:t xml:space="preserve">26 (3): 37–47.</w:t>
      </w:r>
      <w:r>
        <w:t xml:space="preserve"> </w:t>
      </w:r>
      <w:hyperlink r:id="rId138">
        <w:r>
          <w:rPr>
            <w:rStyle w:val="Hyperlink"/>
          </w:rPr>
          <w:t xml:space="preserve">https://doi.org/10.1109/MSP.2009.932122</w:t>
        </w:r>
      </w:hyperlink>
      <w:r>
        <w:t xml:space="preserve">.</w:t>
      </w:r>
    </w:p>
    <w:bookmarkEnd w:id="139"/>
    <w:bookmarkStart w:id="141" w:name="ref-vilaImpactHardwareVariability2024"/>
    <w:p>
      <w:pPr>
        <w:pStyle w:val="Bibliography"/>
      </w:pPr>
      <w:r>
        <w:t xml:space="preserve">Vila, Gael, Emmanuel Medernach, Ines Gonzalez Pepe, Axel Bonnet, Yohan Chatelain, Michael Sdika, Tristan Glatard, and Sorina Camarasu Pop. 2024.</w:t>
      </w:r>
      <w:r>
        <w:t xml:space="preserve"> </w:t>
      </w:r>
      <w:r>
        <w:t xml:space="preserve">“The Impact of Hardware Variability on Applications Packaged with Docker and Guix: A Case Study in Neuroimaging.”</w:t>
      </w:r>
      <w:r>
        <w:t xml:space="preserve"> </w:t>
      </w:r>
      <w:r>
        <w:t xml:space="preserve">In</w:t>
      </w:r>
      <w:r>
        <w:t xml:space="preserve"> </w:t>
      </w:r>
      <w:r>
        <w:rPr>
          <w:i/>
          <w:iCs/>
        </w:rPr>
        <w:t xml:space="preserve">Proceedings of the 2nd ACM Conference on Reproducibility and Replicability</w:t>
      </w:r>
      <w:r>
        <w:t xml:space="preserve">, 75–84. Rennes France: ACM.</w:t>
      </w:r>
      <w:r>
        <w:t xml:space="preserve"> </w:t>
      </w:r>
      <w:hyperlink r:id="rId140">
        <w:r>
          <w:rPr>
            <w:rStyle w:val="Hyperlink"/>
          </w:rPr>
          <w:t xml:space="preserve">https://doi.org/10.1145/3641525.3663626</w:t>
        </w:r>
      </w:hyperlink>
      <w:r>
        <w:t xml:space="preserve">.</w:t>
      </w:r>
    </w:p>
    <w:bookmarkEnd w:id="141"/>
    <w:bookmarkStart w:id="143" w:name="X57a3063c3c80cd8f5761585e619561754f83966"/>
    <w:p>
      <w:pPr>
        <w:pStyle w:val="Bibliography"/>
      </w:pPr>
      <w:r>
        <w:t xml:space="preserve">Wang, Jiawei, Tzu-yang Kuo, Li Li, and Andreas Zeller. 2021.</w:t>
      </w:r>
      <w:r>
        <w:t xml:space="preserve"> </w:t>
      </w:r>
      <w:r>
        <w:t xml:space="preserve">“Assessing and Restoring Reproducibility of Jupyter Notebooks.”</w:t>
      </w:r>
      <w:r>
        <w:t xml:space="preserve"> </w:t>
      </w:r>
      <w:r>
        <w:t xml:space="preserve">In</w:t>
      </w:r>
      <w:r>
        <w:t xml:space="preserve"> </w:t>
      </w:r>
      <w:r>
        <w:rPr>
          <w:i/>
          <w:iCs/>
        </w:rPr>
        <w:t xml:space="preserve">Proceedings of the 35th IEEE/ACM International Conference on Automated Software Engineering</w:t>
      </w:r>
      <w:r>
        <w:t xml:space="preserve">, 138–49. ASE ’20. New York, NY, USA: Association for Computing Machinery.</w:t>
      </w:r>
      <w:r>
        <w:t xml:space="preserve"> </w:t>
      </w:r>
      <w:hyperlink r:id="rId142">
        <w:r>
          <w:rPr>
            <w:rStyle w:val="Hyperlink"/>
          </w:rPr>
          <w:t xml:space="preserve">https://doi.org/10.1145/3324884.3416585</w:t>
        </w:r>
      </w:hyperlink>
      <w:r>
        <w:t xml:space="preserve">.</w:t>
      </w:r>
    </w:p>
    <w:bookmarkEnd w:id="143"/>
    <w:bookmarkStart w:id="145" w:name="ref-zhaoWhyWorkflowsBreak2012"/>
    <w:p>
      <w:pPr>
        <w:pStyle w:val="Bibliography"/>
      </w:pPr>
      <w:r>
        <w:t xml:space="preserve">Zhao, Jun, Jose Manuel Gomez-Perez, Khalid Belhajjame, Graham Klyne, Esteban Garcia-cuesta, Aleix Garrido, Kristina Hettne, Marco Roos, David De Roure, and Carole Goble. 2012.</w:t>
      </w:r>
      <w:r>
        <w:t xml:space="preserve"> </w:t>
      </w:r>
      <w:r>
        <w:t xml:space="preserve">“Why Workflows Break — Understanding and Combating Decay in Taverna Workflows.”</w:t>
      </w:r>
      <w:r>
        <w:t xml:space="preserve"> </w:t>
      </w:r>
      <w:r>
        <w:t xml:space="preserve">In</w:t>
      </w:r>
      <w:r>
        <w:t xml:space="preserve"> </w:t>
      </w:r>
      <w:r>
        <w:rPr>
          <w:i/>
          <w:iCs/>
        </w:rPr>
        <w:t xml:space="preserve">2012 IEEE 8th International Conference on E-Science (e-Science)</w:t>
      </w:r>
      <w:r>
        <w:t xml:space="preserve">, 9. Chicago, IL: IEEE.</w:t>
      </w:r>
      <w:r>
        <w:t xml:space="preserve"> </w:t>
      </w:r>
      <w:hyperlink r:id="rId144">
        <w:r>
          <w:rPr>
            <w:rStyle w:val="Hyperlink"/>
          </w:rPr>
          <w:t xml:space="preserve">https://doi.org/10.1109/eScience.2012.6404482</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 am considering the total sample to be only those papers whose results were backed by code, did not require special hardware, and were not excluded due to overlapping author lists, since those are the only ones Collberg and Proebsting attempted to reproduce. I am considering OK&lt;30 and OK&gt;30 as</w:t>
      </w:r>
      <w:r>
        <w:t xml:space="preserve"> </w:t>
      </w:r>
      <w:r>
        <w:t xml:space="preserve">“</w:t>
      </w:r>
      <w:r>
        <w:t xml:space="preserve">reproducible crash-free building</w:t>
      </w:r>
      <w:r>
        <w:t xml:space="preserve">”</w:t>
      </w:r>
      <w:r>
        <w:t xml:space="preserve"> </w:t>
      </w:r>
      <w:r>
        <w:t xml:space="preserve">because codes labelled OK&gt;Author were not actually reproduced on a new system; it was merely</w:t>
      </w:r>
      <w:r>
        <w:t xml:space="preserve"> </w:t>
      </w:r>
      <w:r>
        <w:rPr>
          <w:i/>
          <w:iCs/>
        </w:rPr>
        <w:t xml:space="preserve">repeated</w:t>
      </w:r>
      <w:r>
        <w:t xml:space="preserve"> </w:t>
      </w:r>
      <w:r>
        <w:t xml:space="preserve">on the authors system</w:t>
      </w:r>
      <w:r>
        <w:t xml:space="preserve"> </w:t>
      </w:r>
      <w:r>
        <w:t xml:space="preserve">(Collberg and Proebsting 2016)</w:t>
      </w:r>
      <w:r>
        <w:t xml:space="preserve">.</w:t>
      </w:r>
    </w:p>
  </w:footnote>
  <w:footnote w:id="27">
    <w:p>
      <w:pPr>
        <w:pStyle w:val="FootnoteText"/>
      </w:pPr>
      <w:r>
        <w:rPr>
          <w:rStyle w:val="FootnoteReference"/>
        </w:rPr>
        <w:footnoteRef/>
      </w:r>
      <w:r>
        <w:t xml:space="preserve"> </w:t>
      </w:r>
      <w:r>
        <w:t xml:space="preserve">This figure is the average normalized</w:t>
      </w:r>
      <w:r>
        <w:t xml:space="preserve"> </w:t>
      </w:r>
      <w:r>
        <w:t xml:space="preserve">“</w:t>
      </w:r>
      <w:r>
        <w:t xml:space="preserve">reproducibility score</w:t>
      </w:r>
      <w:r>
        <w:t xml:space="preserve">”</w:t>
      </w:r>
      <w:r>
        <w:t xml:space="preserve">, based on whether the method, data, and experiment, were available. If it were 1, all the papers in the sample would be have method, data, and experiment availability, and if it were 0, none would be.</w:t>
      </w:r>
    </w:p>
  </w:footnote>
  <w:footnote w:id="28">
    <w:p>
      <w:pPr>
        <w:pStyle w:val="FootnoteText"/>
      </w:pPr>
      <w:r>
        <w:rPr>
          <w:rStyle w:val="FootnoteReference"/>
        </w:rPr>
        <w:footnoteRef/>
      </w:r>
      <w:r>
        <w:t xml:space="preserve"> </w:t>
      </w:r>
      <w:r>
        <w:t xml:space="preserve">I am considering the total sample to be only notebooks that were valid, pure Python, and had an unambiguous order, since those are the ones Pimentel et al. attempt to reproduce</w:t>
      </w:r>
      <w:r>
        <w:t xml:space="preserve"> </w:t>
      </w:r>
      <w:r>
        <w:t xml:space="preserve">(Pimentel et al. 2019.)</w:t>
      </w:r>
    </w:p>
  </w:footnote>
  <w:footnote w:id="29">
    <w:p>
      <w:pPr>
        <w:pStyle w:val="FootnoteText"/>
      </w:pPr>
      <w:r>
        <w:rPr>
          <w:rStyle w:val="FootnoteReference"/>
        </w:rPr>
        <w:footnoteRef/>
      </w:r>
      <w:r>
        <w:t xml:space="preserve"> </w:t>
      </w:r>
      <w:r>
        <w:t xml:space="preserve">This figure is the average number of computational elements (figures and tables) that wereeproduced to semantic equivalence in each paper.</w:t>
      </w:r>
    </w:p>
  </w:footnote>
  <w:footnote w:id="30">
    <w:p>
      <w:pPr>
        <w:pStyle w:val="FootnoteText"/>
      </w:pPr>
      <w:r>
        <w:rPr>
          <w:rStyle w:val="FootnoteReference"/>
        </w:rPr>
        <w:footnoteRef/>
      </w:r>
      <w:r>
        <w:t xml:space="preserve"> </w:t>
      </w:r>
      <w:r>
        <w:t xml:space="preserve">I am considering the total sample to eb only notebooks that had dependency information and used Python 3.5 or later, since those are the only ones Wang et al. attempted to reproduce</w:t>
      </w:r>
      <w:r>
        <w:t xml:space="preserve"> </w:t>
      </w:r>
      <w:r>
        <w:t xml:space="preserve">(Wang et al. 2021)</w:t>
      </w:r>
      <w:r>
        <w:t xml:space="preserve">.</w:t>
      </w:r>
    </w:p>
  </w:footnote>
  <w:footnote w:id="31">
    <w:p>
      <w:pPr>
        <w:pStyle w:val="FootnoteText"/>
      </w:pPr>
      <w:r>
        <w:rPr>
          <w:rStyle w:val="FootnoteReference"/>
        </w:rPr>
        <w:footnoteRef/>
      </w:r>
      <w:r>
        <w:t xml:space="preserve"> </w:t>
      </w:r>
      <w:r>
        <w:t xml:space="preserve">I am considering the total samples to be the set of</w:t>
      </w:r>
      <w:r>
        <w:t xml:space="preserve"> </w:t>
      </w:r>
      <w:r>
        <w:rPr>
          <w:i/>
          <w:iCs/>
        </w:rPr>
        <w:t xml:space="preserve">un-repaired</w:t>
      </w:r>
      <w:r>
        <w:t xml:space="preserve"> </w:t>
      </w:r>
      <w:r>
        <w:t xml:space="preserve">codes, since those are the ones that actually exist publicly. Also, we</w:t>
      </w:r>
      <w:r>
        <w:t xml:space="preserve"> </w:t>
      </w:r>
      <w:r>
        <w:rPr>
          <w:i/>
          <w:iCs/>
        </w:rPr>
        <w:t xml:space="preserve">include</w:t>
      </w:r>
      <w:r>
        <w:t xml:space="preserve"> </w:t>
      </w:r>
      <w:r>
        <w:t xml:space="preserve">codes for whicthe time limit was exceeded; reproduction was attempted and not successf in those conditions.</w:t>
      </w:r>
    </w:p>
  </w:footnote>
  <w:footnote w:id="36">
    <w:p>
      <w:pPr>
        <w:pStyle w:val="FootnoteText"/>
      </w:pPr>
      <w:r>
        <w:rPr>
          <w:rStyle w:val="FootnoteReference"/>
        </w:rPr>
        <w:footnoteRef/>
      </w:r>
      <w:r>
        <w:t xml:space="preserve"> </w:t>
      </w:r>
      <w:r>
        <w:t xml:space="preserve">List at</w:t>
      </w:r>
      <w:r>
        <w:t xml:space="preserve"> </w:t>
      </w:r>
      <w:hyperlink r:id="rId37">
        <w:r>
          <w:rPr>
            <w:rStyle w:val="Hyperlink"/>
          </w:rPr>
          <w:t xml:space="preserve">https://datasciencenotebook.org/</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53" Target="media/rId53.png" /><Relationship Type="http://schemas.openxmlformats.org/officeDocument/2006/relationships/hyperlink" Id="rId37" Target="https://datasciencenotebook.org/" TargetMode="External" /><Relationship Type="http://schemas.openxmlformats.org/officeDocument/2006/relationships/hyperlink" Id="rId106" Target="https://doi.org/10.1002/cpe.1233" TargetMode="External" /><Relationship Type="http://schemas.openxmlformats.org/officeDocument/2006/relationships/hyperlink" Id="rId112" Target="https://doi.org/10.1007/978-3-319-16462-5_6" TargetMode="External" /><Relationship Type="http://schemas.openxmlformats.org/officeDocument/2006/relationships/hyperlink" Id="rId72" Target="https://doi.org/10.1007/978-3-642-28267-6_19" TargetMode="External" /><Relationship Type="http://schemas.openxmlformats.org/officeDocument/2006/relationships/hyperlink" Id="rId100" Target="https://doi.org/10.1007/s10723-015-9329-8" TargetMode="External" /><Relationship Type="http://schemas.openxmlformats.org/officeDocument/2006/relationships/hyperlink" Id="rId102" Target="https://doi.org/10.1016/j.future.2008.06.013" TargetMode="External" /><Relationship Type="http://schemas.openxmlformats.org/officeDocument/2006/relationships/hyperlink" Id="rId70" Target="https://doi.org/10.1016/j.future.2017.12.029" TargetMode="External" /><Relationship Type="http://schemas.openxmlformats.org/officeDocument/2006/relationships/hyperlink" Id="rId136" Target="https://doi.org/10.1016/j.procs.2011.04.062" TargetMode="External" /><Relationship Type="http://schemas.openxmlformats.org/officeDocument/2006/relationships/hyperlink" Id="rId114" Target="https://doi.org/10.1016/j.procs.2011.04.064" TargetMode="External" /><Relationship Type="http://schemas.openxmlformats.org/officeDocument/2006/relationships/hyperlink" Id="rId126" Target="https://doi.org/10.1016/j.procs.2017.03.009" TargetMode="External" /><Relationship Type="http://schemas.openxmlformats.org/officeDocument/2006/relationships/hyperlink" Id="rId122" Target="https://doi.org/10.1038/ng0506-500" TargetMode="External" /><Relationship Type="http://schemas.openxmlformats.org/officeDocument/2006/relationships/hyperlink" Id="rId134" Target="https://doi.org/10.1038/s41597-022-01143-6" TargetMode="External" /><Relationship Type="http://schemas.openxmlformats.org/officeDocument/2006/relationships/hyperlink" Id="rId96" Target="https://doi.org/10.1093/comjnl/27.2.97" TargetMode="External" /><Relationship Type="http://schemas.openxmlformats.org/officeDocument/2006/relationships/hyperlink" Id="rId116" Target="https://doi.org/10.1093/gigascience/giy149" TargetMode="External" /><Relationship Type="http://schemas.openxmlformats.org/officeDocument/2006/relationships/hyperlink" Id="rId132" Target="https://doi.org/10.1093/nar/gkae410" TargetMode="External" /><Relationship Type="http://schemas.openxmlformats.org/officeDocument/2006/relationships/hyperlink" Id="rId98" Target="https://doi.org/10.1098/rsta.2020.0069" TargetMode="External" /><Relationship Type="http://schemas.openxmlformats.org/officeDocument/2006/relationships/hyperlink" Id="rId82" Target="https://doi.org/10.1109/MCSE.2008.79" TargetMode="External" /><Relationship Type="http://schemas.openxmlformats.org/officeDocument/2006/relationships/hyperlink" Id="rId138" Target="https://doi.org/10.1109/MSP.2009.932122" TargetMode="External" /><Relationship Type="http://schemas.openxmlformats.org/officeDocument/2006/relationships/hyperlink" Id="rId118" Target="https://doi.org/10.1109/MSR.2019.00077" TargetMode="External" /><Relationship Type="http://schemas.openxmlformats.org/officeDocument/2006/relationships/hyperlink" Id="rId130" Target="https://doi.org/10.1109/eScience.2012.6404455" TargetMode="External" /><Relationship Type="http://schemas.openxmlformats.org/officeDocument/2006/relationships/hyperlink" Id="rId144" Target="https://doi.org/10.1109/eScience.2012.6404482" TargetMode="External" /><Relationship Type="http://schemas.openxmlformats.org/officeDocument/2006/relationships/hyperlink" Id="rId68" Target="https://doi.org/10.1145/1646353.1646374" TargetMode="External" /><Relationship Type="http://schemas.openxmlformats.org/officeDocument/2006/relationships/hyperlink" Id="rId76" Target="https://doi.org/10.1145/2812803" TargetMode="External" /><Relationship Type="http://schemas.openxmlformats.org/officeDocument/2006/relationships/hyperlink" Id="rId142" Target="https://doi.org/10.1145/3324884.3416585" TargetMode="External" /><Relationship Type="http://schemas.openxmlformats.org/officeDocument/2006/relationships/hyperlink" Id="rId86" Target="https://doi.org/10.1145/3589806.3600037" TargetMode="External" /><Relationship Type="http://schemas.openxmlformats.org/officeDocument/2006/relationships/hyperlink" Id="rId140" Target="https://doi.org/10.1145/3641525.3663626" TargetMode="External" /><Relationship Type="http://schemas.openxmlformats.org/officeDocument/2006/relationships/hyperlink" Id="rId84" Target="https://doi.org/10.1145/3641525.3663627" TargetMode="External" /><Relationship Type="http://schemas.openxmlformats.org/officeDocument/2006/relationships/hyperlink" Id="rId74" Target="https://doi.org/10.1190/1.1822162" TargetMode="External" /><Relationship Type="http://schemas.openxmlformats.org/officeDocument/2006/relationships/hyperlink" Id="rId104" Target="https://doi.org/10.12688/f1000research.29032.2" TargetMode="External" /><Relationship Type="http://schemas.openxmlformats.org/officeDocument/2006/relationships/hyperlink" Id="rId88" Target="https://doi.org/10.1609/aaai.v32i1.11503" TargetMode="External" /><Relationship Type="http://schemas.openxmlformats.org/officeDocument/2006/relationships/hyperlink" Id="rId90" Target="https://doi.org/10.2172/1481626" TargetMode="External" /><Relationship Type="http://schemas.openxmlformats.org/officeDocument/2006/relationships/hyperlink" Id="rId78" Target="https://doi.org/10.2218/ijdc.v15i1.698" TargetMode="External" /><Relationship Type="http://schemas.openxmlformats.org/officeDocument/2006/relationships/hyperlink" Id="rId92" Target="https://doi.org/10.25080/Majora-4af1f417-011" TargetMode="External" /><Relationship Type="http://schemas.openxmlformats.org/officeDocument/2006/relationships/hyperlink" Id="rId128" Target="https://doi.org/10.4103/0976-500X.81919" TargetMode="External" /><Relationship Type="http://schemas.openxmlformats.org/officeDocument/2006/relationships/hyperlink" Id="rId80" Target="https://doi.org/10.7274/R0CZ353M" TargetMode="External" /><Relationship Type="http://schemas.openxmlformats.org/officeDocument/2006/relationships/hyperlink" Id="rId124" Target="https://doi.org/10.7717/peerj-cs.142" TargetMode="External" /><Relationship Type="http://schemas.openxmlformats.org/officeDocument/2006/relationships/hyperlink" Id="rId42" Target="https://github.com/meirwah/awesome-workflow-engines" TargetMode="External" /><Relationship Type="http://schemas.openxmlformats.org/officeDocument/2006/relationships/hyperlink" Id="rId41" Target="https://workflows.communities/registries" TargetMode="External" /><Relationship Type="http://schemas.openxmlformats.org/officeDocument/2006/relationships/hyperlink" Id="rId66" Target="https://www.acm.org/publications/policies/artifact-review-and-badging-current" TargetMode="External" /><Relationship Type="http://schemas.openxmlformats.org/officeDocument/2006/relationships/hyperlink" Id="rId110" Target="https://www.docker.com/blog/docker-hub-image-retention-policy-delayed-and-subscription-updates/" TargetMode="External" /><Relationship Type="http://schemas.openxmlformats.org/officeDocument/2006/relationships/hyperlink" Id="rId108" Target="https://www.docker.com/blog/scaling-dockers-business-to-serve-millions-more-developers-storage/" TargetMode="External" /><Relationship Type="http://schemas.openxmlformats.org/officeDocument/2006/relationships/hyperlink" Id="rId120" Target="https://www.frontiersin.org/articles/10.3389/fninf.2017.00076" TargetMode="External" /><Relationship Type="http://schemas.openxmlformats.org/officeDocument/2006/relationships/hyperlink" Id="rId94" Target="https://www.usenix.org/conference/atc20/presentation/keahey" TargetMode="External" /></Relationships>
</file>

<file path=word/_rels/footnotes.xml.rels><?xml version="1.0" encoding="UTF-8"?><Relationships xmlns="http://schemas.openxmlformats.org/package/2006/relationships"><Relationship Type="http://schemas.openxmlformats.org/officeDocument/2006/relationships/hyperlink" Id="rId37" Target="https://datasciencenotebook.org/" TargetMode="External" /><Relationship Type="http://schemas.openxmlformats.org/officeDocument/2006/relationships/hyperlink" Id="rId106" Target="https://doi.org/10.1002/cpe.1233" TargetMode="External" /><Relationship Type="http://schemas.openxmlformats.org/officeDocument/2006/relationships/hyperlink" Id="rId112" Target="https://doi.org/10.1007/978-3-319-16462-5_6" TargetMode="External" /><Relationship Type="http://schemas.openxmlformats.org/officeDocument/2006/relationships/hyperlink" Id="rId72" Target="https://doi.org/10.1007/978-3-642-28267-6_19" TargetMode="External" /><Relationship Type="http://schemas.openxmlformats.org/officeDocument/2006/relationships/hyperlink" Id="rId100" Target="https://doi.org/10.1007/s10723-015-9329-8" TargetMode="External" /><Relationship Type="http://schemas.openxmlformats.org/officeDocument/2006/relationships/hyperlink" Id="rId102" Target="https://doi.org/10.1016/j.future.2008.06.013" TargetMode="External" /><Relationship Type="http://schemas.openxmlformats.org/officeDocument/2006/relationships/hyperlink" Id="rId70" Target="https://doi.org/10.1016/j.future.2017.12.029" TargetMode="External" /><Relationship Type="http://schemas.openxmlformats.org/officeDocument/2006/relationships/hyperlink" Id="rId136" Target="https://doi.org/10.1016/j.procs.2011.04.062" TargetMode="External" /><Relationship Type="http://schemas.openxmlformats.org/officeDocument/2006/relationships/hyperlink" Id="rId114" Target="https://doi.org/10.1016/j.procs.2011.04.064" TargetMode="External" /><Relationship Type="http://schemas.openxmlformats.org/officeDocument/2006/relationships/hyperlink" Id="rId126" Target="https://doi.org/10.1016/j.procs.2017.03.009" TargetMode="External" /><Relationship Type="http://schemas.openxmlformats.org/officeDocument/2006/relationships/hyperlink" Id="rId122" Target="https://doi.org/10.1038/ng0506-500" TargetMode="External" /><Relationship Type="http://schemas.openxmlformats.org/officeDocument/2006/relationships/hyperlink" Id="rId134" Target="https://doi.org/10.1038/s41597-022-01143-6" TargetMode="External" /><Relationship Type="http://schemas.openxmlformats.org/officeDocument/2006/relationships/hyperlink" Id="rId96" Target="https://doi.org/10.1093/comjnl/27.2.97" TargetMode="External" /><Relationship Type="http://schemas.openxmlformats.org/officeDocument/2006/relationships/hyperlink" Id="rId116" Target="https://doi.org/10.1093/gigascience/giy149" TargetMode="External" /><Relationship Type="http://schemas.openxmlformats.org/officeDocument/2006/relationships/hyperlink" Id="rId132" Target="https://doi.org/10.1093/nar/gkae410" TargetMode="External" /><Relationship Type="http://schemas.openxmlformats.org/officeDocument/2006/relationships/hyperlink" Id="rId98" Target="https://doi.org/10.1098/rsta.2020.0069" TargetMode="External" /><Relationship Type="http://schemas.openxmlformats.org/officeDocument/2006/relationships/hyperlink" Id="rId82" Target="https://doi.org/10.1109/MCSE.2008.79" TargetMode="External" /><Relationship Type="http://schemas.openxmlformats.org/officeDocument/2006/relationships/hyperlink" Id="rId138" Target="https://doi.org/10.1109/MSP.2009.932122" TargetMode="External" /><Relationship Type="http://schemas.openxmlformats.org/officeDocument/2006/relationships/hyperlink" Id="rId118" Target="https://doi.org/10.1109/MSR.2019.00077" TargetMode="External" /><Relationship Type="http://schemas.openxmlformats.org/officeDocument/2006/relationships/hyperlink" Id="rId130" Target="https://doi.org/10.1109/eScience.2012.6404455" TargetMode="External" /><Relationship Type="http://schemas.openxmlformats.org/officeDocument/2006/relationships/hyperlink" Id="rId144" Target="https://doi.org/10.1109/eScience.2012.6404482" TargetMode="External" /><Relationship Type="http://schemas.openxmlformats.org/officeDocument/2006/relationships/hyperlink" Id="rId68" Target="https://doi.org/10.1145/1646353.1646374" TargetMode="External" /><Relationship Type="http://schemas.openxmlformats.org/officeDocument/2006/relationships/hyperlink" Id="rId76" Target="https://doi.org/10.1145/2812803" TargetMode="External" /><Relationship Type="http://schemas.openxmlformats.org/officeDocument/2006/relationships/hyperlink" Id="rId142" Target="https://doi.org/10.1145/3324884.3416585" TargetMode="External" /><Relationship Type="http://schemas.openxmlformats.org/officeDocument/2006/relationships/hyperlink" Id="rId86" Target="https://doi.org/10.1145/3589806.3600037" TargetMode="External" /><Relationship Type="http://schemas.openxmlformats.org/officeDocument/2006/relationships/hyperlink" Id="rId140" Target="https://doi.org/10.1145/3641525.3663626" TargetMode="External" /><Relationship Type="http://schemas.openxmlformats.org/officeDocument/2006/relationships/hyperlink" Id="rId84" Target="https://doi.org/10.1145/3641525.3663627" TargetMode="External" /><Relationship Type="http://schemas.openxmlformats.org/officeDocument/2006/relationships/hyperlink" Id="rId74" Target="https://doi.org/10.1190/1.1822162" TargetMode="External" /><Relationship Type="http://schemas.openxmlformats.org/officeDocument/2006/relationships/hyperlink" Id="rId104" Target="https://doi.org/10.12688/f1000research.29032.2" TargetMode="External" /><Relationship Type="http://schemas.openxmlformats.org/officeDocument/2006/relationships/hyperlink" Id="rId88" Target="https://doi.org/10.1609/aaai.v32i1.11503" TargetMode="External" /><Relationship Type="http://schemas.openxmlformats.org/officeDocument/2006/relationships/hyperlink" Id="rId90" Target="https://doi.org/10.2172/1481626" TargetMode="External" /><Relationship Type="http://schemas.openxmlformats.org/officeDocument/2006/relationships/hyperlink" Id="rId78" Target="https://doi.org/10.2218/ijdc.v15i1.698" TargetMode="External" /><Relationship Type="http://schemas.openxmlformats.org/officeDocument/2006/relationships/hyperlink" Id="rId92" Target="https://doi.org/10.25080/Majora-4af1f417-011" TargetMode="External" /><Relationship Type="http://schemas.openxmlformats.org/officeDocument/2006/relationships/hyperlink" Id="rId128" Target="https://doi.org/10.4103/0976-500X.81919" TargetMode="External" /><Relationship Type="http://schemas.openxmlformats.org/officeDocument/2006/relationships/hyperlink" Id="rId80" Target="https://doi.org/10.7274/R0CZ353M" TargetMode="External" /><Relationship Type="http://schemas.openxmlformats.org/officeDocument/2006/relationships/hyperlink" Id="rId124" Target="https://doi.org/10.7717/peerj-cs.142" TargetMode="External" /><Relationship Type="http://schemas.openxmlformats.org/officeDocument/2006/relationships/hyperlink" Id="rId42" Target="https://github.com/meirwah/awesome-workflow-engines" TargetMode="External" /><Relationship Type="http://schemas.openxmlformats.org/officeDocument/2006/relationships/hyperlink" Id="rId41" Target="https://workflows.communities/registries" TargetMode="External" /><Relationship Type="http://schemas.openxmlformats.org/officeDocument/2006/relationships/hyperlink" Id="rId66" Target="https://www.acm.org/publications/policies/artifact-review-and-badging-current" TargetMode="External" /><Relationship Type="http://schemas.openxmlformats.org/officeDocument/2006/relationships/hyperlink" Id="rId110" Target="https://www.docker.com/blog/docker-hub-image-retention-policy-delayed-and-subscription-updates/" TargetMode="External" /><Relationship Type="http://schemas.openxmlformats.org/officeDocument/2006/relationships/hyperlink" Id="rId108" Target="https://www.docker.com/blog/scaling-dockers-business-to-serve-millions-more-developers-storage/" TargetMode="External" /><Relationship Type="http://schemas.openxmlformats.org/officeDocument/2006/relationships/hyperlink" Id="rId120" Target="https://www.frontiersin.org/articles/10.3389/fninf.2017.00076" TargetMode="External" /><Relationship Type="http://schemas.openxmlformats.org/officeDocument/2006/relationships/hyperlink" Id="rId94" Target="https://www.usenix.org/conference/atc20/presentation/keah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enable inexpensive reproducibility for computational experiments</dc:title>
  <dc:creator>Samuel Grayson</dc:creator>
  <cp:keywords/>
  <dcterms:created xsi:type="dcterms:W3CDTF">2024-10-07T19:48:50Z</dcterms:created>
  <dcterms:modified xsi:type="dcterms:W3CDTF">2024-10-07T19:48:50Z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zotero.yaml</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2024 Oct 03</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geometry">
    <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True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