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A9DAB" w14:textId="77777777" w:rsidR="00454288" w:rsidRDefault="00897E9A" w:rsidP="00897E9A">
      <w:pPr>
        <w:pStyle w:val="12"/>
        <w:numPr>
          <w:ilvl w:val="0"/>
          <w:numId w:val="0"/>
        </w:numPr>
        <w:jc w:val="both"/>
      </w:pPr>
      <w:r>
        <w:tab/>
        <w:t>П</w:t>
      </w:r>
      <w:r>
        <w:t>риход христианства на Русь и распространение</w:t>
      </w:r>
    </w:p>
    <w:p w14:paraId="3B7F73E6" w14:textId="77777777" w:rsidR="00454288" w:rsidRDefault="00897E9A" w:rsidP="00897E9A">
      <w:pPr>
        <w:pStyle w:val="affa"/>
        <w:jc w:val="left"/>
      </w:pPr>
      <w:r>
        <w:rPr>
          <w:i/>
        </w:rPr>
        <w:t>дисциплина:</w:t>
      </w:r>
      <w:r>
        <w:t xml:space="preserve"> История Русской церкви</w:t>
      </w:r>
      <w:r>
        <w:br/>
      </w:r>
      <w:r>
        <w:rPr>
          <w:i/>
        </w:rPr>
        <w:t>преподаватель:</w:t>
      </w:r>
      <w:r>
        <w:t xml:space="preserve"> Алексеева Е.</w:t>
      </w:r>
      <w:bookmarkStart w:id="0" w:name="_GoBack"/>
      <w:bookmarkEnd w:id="0"/>
      <w:r>
        <w:br/>
        <w:t>14.09.18</w:t>
      </w:r>
    </w:p>
    <w:p w14:paraId="238E2309" w14:textId="77777777" w:rsidR="00454288" w:rsidRDefault="00897E9A" w:rsidP="00897E9A">
      <w:pPr>
        <w:pStyle w:val="20"/>
        <w:numPr>
          <w:ilvl w:val="0"/>
          <w:numId w:val="0"/>
        </w:numPr>
        <w:ind w:left="1418"/>
      </w:pPr>
      <w:bookmarkStart w:id="1" w:name="лекция"/>
      <w:bookmarkEnd w:id="1"/>
      <w:r>
        <w:t>Лекция</w:t>
      </w:r>
    </w:p>
    <w:p w14:paraId="1EE2DA00" w14:textId="77777777" w:rsidR="00454288" w:rsidRDefault="00897E9A">
      <w:pPr>
        <w:pStyle w:val="FirstParagraph"/>
      </w:pPr>
      <w:r>
        <w:t xml:space="preserve">Приход и распространение хр-ва на Р. приходится на </w:t>
      </w:r>
      <w:r>
        <w:rPr>
          <w:i/>
        </w:rPr>
        <w:t>Киевский пер</w:t>
      </w:r>
      <w:r>
        <w:rPr>
          <w:i/>
        </w:rPr>
        <w:t>и</w:t>
      </w:r>
      <w:r>
        <w:rPr>
          <w:i/>
        </w:rPr>
        <w:t>од</w:t>
      </w:r>
      <w:r>
        <w:t xml:space="preserve">. Русь в это время раздроблена, а </w:t>
      </w:r>
      <w:r>
        <w:rPr>
          <w:b/>
        </w:rPr>
        <w:t>с кон. XIв., кол-во суверенных кн</w:t>
      </w:r>
      <w:r>
        <w:rPr>
          <w:b/>
        </w:rPr>
        <w:t>я</w:t>
      </w:r>
      <w:r>
        <w:rPr>
          <w:b/>
        </w:rPr>
        <w:t>жеств увеличивается.</w:t>
      </w:r>
      <w:r>
        <w:t xml:space="preserve"> 5 княжеств до XIIв. –&gt; 50 княжеств к XIIIв. –&gt; ~150 к сер. XIVв. (фактически, каждый крупный город обретал независимость). С сер. XIVв. нач. обратный процесс.</w:t>
      </w:r>
    </w:p>
    <w:p w14:paraId="7FD201A5" w14:textId="77777777" w:rsidR="00454288" w:rsidRDefault="00897E9A">
      <w:pPr>
        <w:pStyle w:val="a1"/>
      </w:pPr>
      <w:r>
        <w:rPr>
          <w:b/>
        </w:rPr>
        <w:t>Оч. важны вопросы:</w:t>
      </w:r>
    </w:p>
    <w:p w14:paraId="36961A5E" w14:textId="77777777" w:rsidR="00454288" w:rsidRDefault="00897E9A">
      <w:pPr>
        <w:pStyle w:val="Compact"/>
        <w:numPr>
          <w:ilvl w:val="0"/>
          <w:numId w:val="35"/>
        </w:numPr>
      </w:pPr>
      <w:r>
        <w:t>Как случилось, что церк</w:t>
      </w:r>
      <w:r>
        <w:t>овь (при своей малой численности) не расств</w:t>
      </w:r>
      <w:r>
        <w:t>о</w:t>
      </w:r>
      <w:r>
        <w:t>рилась в:</w:t>
      </w:r>
    </w:p>
    <w:p w14:paraId="377E52B4" w14:textId="77777777" w:rsidR="00454288" w:rsidRDefault="00897E9A">
      <w:pPr>
        <w:pStyle w:val="Compact"/>
        <w:numPr>
          <w:ilvl w:val="1"/>
          <w:numId w:val="36"/>
        </w:numPr>
      </w:pPr>
      <w:r>
        <w:t>огромной территории и большой численности населения</w:t>
      </w:r>
    </w:p>
    <w:p w14:paraId="043792F8" w14:textId="77777777" w:rsidR="00454288" w:rsidRDefault="00897E9A">
      <w:pPr>
        <w:pStyle w:val="Compact"/>
        <w:numPr>
          <w:ilvl w:val="1"/>
          <w:numId w:val="36"/>
        </w:numPr>
      </w:pPr>
      <w:r>
        <w:t>превалирующем язычестве и яз. культуре</w:t>
      </w:r>
    </w:p>
    <w:p w14:paraId="630DE3D2" w14:textId="77777777" w:rsidR="00454288" w:rsidRDefault="00897E9A">
      <w:pPr>
        <w:pStyle w:val="Compact"/>
        <w:numPr>
          <w:ilvl w:val="0"/>
          <w:numId w:val="35"/>
        </w:numPr>
      </w:pPr>
      <w:r>
        <w:t>Особенности политич. положения церкви (её независимости, с моме</w:t>
      </w:r>
      <w:r>
        <w:t>н</w:t>
      </w:r>
      <w:r>
        <w:t>та крещения Руси)</w:t>
      </w:r>
    </w:p>
    <w:p w14:paraId="26E9E42E" w14:textId="77777777" w:rsidR="00454288" w:rsidRDefault="00897E9A">
      <w:pPr>
        <w:pStyle w:val="Compact"/>
        <w:numPr>
          <w:ilvl w:val="1"/>
          <w:numId w:val="37"/>
        </w:numPr>
      </w:pPr>
      <w:r>
        <w:t>церковь умела пользоваться эт</w:t>
      </w:r>
      <w:r>
        <w:t>им положением, влиять.</w:t>
      </w:r>
    </w:p>
    <w:p w14:paraId="75E379F8" w14:textId="77777777" w:rsidR="00454288" w:rsidRDefault="00897E9A">
      <w:pPr>
        <w:pStyle w:val="Compact"/>
        <w:numPr>
          <w:ilvl w:val="1"/>
          <w:numId w:val="37"/>
        </w:numPr>
      </w:pPr>
      <w:r>
        <w:t>были и негативные последствия</w:t>
      </w:r>
    </w:p>
    <w:p w14:paraId="32CB2751" w14:textId="77777777" w:rsidR="00454288" w:rsidRDefault="00897E9A">
      <w:pPr>
        <w:pStyle w:val="FirstParagraph"/>
      </w:pPr>
      <w:r>
        <w:t>Сейчас интерес к домонгольскому периоду силён, в т.ч. благодаря развитию археологии и доступу к не-письменным источникам, кот. были неизвестны историкам, опиравшихся на письменное наследие. Письме</w:t>
      </w:r>
      <w:r>
        <w:t>н</w:t>
      </w:r>
      <w:r>
        <w:t>ных ис</w:t>
      </w:r>
      <w:r>
        <w:t>точников этой эпохи практически не существует.</w:t>
      </w:r>
    </w:p>
    <w:p w14:paraId="36B00A98" w14:textId="77777777" w:rsidR="00454288" w:rsidRDefault="00897E9A">
      <w:pPr>
        <w:pStyle w:val="a1"/>
      </w:pPr>
      <w:r>
        <w:lastRenderedPageBreak/>
        <w:t>До IXв. на Руси происходит перемещение масс людей, идут колон</w:t>
      </w:r>
      <w:r>
        <w:t>и</w:t>
      </w:r>
      <w:r>
        <w:t xml:space="preserve">зационные процессы. Перемещаются </w:t>
      </w:r>
      <w:r>
        <w:rPr>
          <w:i/>
        </w:rPr>
        <w:t>славяне</w:t>
      </w:r>
      <w:r>
        <w:t xml:space="preserve">, </w:t>
      </w:r>
      <w:r>
        <w:rPr>
          <w:i/>
        </w:rPr>
        <w:t>угро-финны</w:t>
      </w:r>
      <w:r>
        <w:t xml:space="preserve"> и </w:t>
      </w:r>
      <w:r>
        <w:rPr>
          <w:i/>
        </w:rPr>
        <w:t>варяги</w:t>
      </w:r>
      <w:r>
        <w:t>. Эти три «компонента» будут непосредственно св. с христианизацией Руси.</w:t>
      </w:r>
    </w:p>
    <w:p w14:paraId="1A933D97" w14:textId="77777777" w:rsidR="00454288" w:rsidRDefault="00897E9A">
      <w:pPr>
        <w:pStyle w:val="a1"/>
      </w:pPr>
      <w:r>
        <w:rPr>
          <w:b/>
        </w:rPr>
        <w:t>Благодаря реч</w:t>
      </w:r>
      <w:r>
        <w:rPr>
          <w:b/>
        </w:rPr>
        <w:t>ным системам, на территории вост-евр. равнины возникают три крупных цивилизационных очага</w:t>
      </w:r>
      <w:r>
        <w:t>, связанных с окр</w:t>
      </w:r>
      <w:r>
        <w:t>у</w:t>
      </w:r>
      <w:r>
        <w:t>жающими цивилизациями:</w:t>
      </w:r>
    </w:p>
    <w:p w14:paraId="1DAE9190" w14:textId="77777777" w:rsidR="00454288" w:rsidRDefault="00897E9A">
      <w:pPr>
        <w:pStyle w:val="Compact"/>
        <w:numPr>
          <w:ilvl w:val="0"/>
          <w:numId w:val="38"/>
        </w:numPr>
      </w:pPr>
      <w:r>
        <w:t>Волжская речная система – с Персией и Китаем)</w:t>
      </w:r>
      <w:r>
        <w:rPr>
          <w:rStyle w:val="affd"/>
        </w:rPr>
        <w:footnoteReference w:id="1"/>
      </w:r>
      <w:r>
        <w:t>,</w:t>
      </w:r>
    </w:p>
    <w:p w14:paraId="4D1314A2" w14:textId="77777777" w:rsidR="00454288" w:rsidRDefault="00897E9A">
      <w:pPr>
        <w:pStyle w:val="Compact"/>
        <w:numPr>
          <w:ilvl w:val="0"/>
          <w:numId w:val="38"/>
        </w:numPr>
      </w:pPr>
      <w:r>
        <w:t>Днепр – с Византией</w:t>
      </w:r>
    </w:p>
    <w:p w14:paraId="700B6417" w14:textId="77777777" w:rsidR="00454288" w:rsidRDefault="00897E9A">
      <w:pPr>
        <w:pStyle w:val="Compact"/>
        <w:numPr>
          <w:ilvl w:val="0"/>
          <w:numId w:val="38"/>
        </w:numPr>
      </w:pPr>
      <w:r>
        <w:t>варяги – с центр. Европой</w:t>
      </w:r>
    </w:p>
    <w:p w14:paraId="000BAD03" w14:textId="77777777" w:rsidR="00454288" w:rsidRDefault="00897E9A">
      <w:pPr>
        <w:pStyle w:val="FirstParagraph"/>
      </w:pPr>
      <w:r>
        <w:t>Всп. летописное предание: экспан</w:t>
      </w:r>
      <w:r>
        <w:t>сия гос-ва проходила от Новгорода (Рюрик) к Днепру (Олег) и далее к волжским булгарам и хазарскому каг</w:t>
      </w:r>
      <w:r>
        <w:t>а</w:t>
      </w:r>
      <w:r>
        <w:t>нату (Святослав). Вероятно, экспансивное развитие было единств. во</w:t>
      </w:r>
      <w:r>
        <w:t>з</w:t>
      </w:r>
      <w:r>
        <w:t>можностью выживания гос-ва в такой среде. Это понимали и князья, б</w:t>
      </w:r>
      <w:r>
        <w:t>о</w:t>
      </w:r>
      <w:r>
        <w:t>ровшиеся за контрол</w:t>
      </w:r>
      <w:r>
        <w:t>ь водных путей.</w:t>
      </w:r>
    </w:p>
    <w:p w14:paraId="5AF8F9DF" w14:textId="77777777" w:rsidR="00454288" w:rsidRDefault="00897E9A">
      <w:pPr>
        <w:pStyle w:val="a1"/>
      </w:pPr>
      <w:r>
        <w:t xml:space="preserve">До VII–VIIIвв. </w:t>
      </w:r>
      <w:r>
        <w:rPr>
          <w:b/>
        </w:rPr>
        <w:t>аборигенами этих земель были угро-финны</w:t>
      </w:r>
      <w:r>
        <w:t>: соб</w:t>
      </w:r>
      <w:r>
        <w:t>и</w:t>
      </w:r>
      <w:r>
        <w:t>ратели, рыболовы, охотники, – лесная цив-я</w:t>
      </w:r>
      <w:r>
        <w:rPr>
          <w:rStyle w:val="affd"/>
        </w:rPr>
        <w:footnoteReference w:id="2"/>
      </w:r>
      <w:r>
        <w:t>. Славяне, вероятно, втор</w:t>
      </w:r>
      <w:r>
        <w:t>г</w:t>
      </w:r>
      <w:r>
        <w:t>лись в VIIIв. из Юж. Польши. К сер. IXв. летопись выделяет уже опред</w:t>
      </w:r>
      <w:r>
        <w:t>е</w:t>
      </w:r>
      <w:r>
        <w:t>лённые родо-племенные основания (поляне, д</w:t>
      </w:r>
      <w:r>
        <w:t>ревляне, вятичи и т.д.). Славяне – земледельцы и, соотв., конфликтуют с финно-уграми за терр</w:t>
      </w:r>
      <w:r>
        <w:t>и</w:t>
      </w:r>
      <w:r>
        <w:t>торию (вырубают леса).</w:t>
      </w:r>
    </w:p>
    <w:p w14:paraId="1C96B92E" w14:textId="77777777" w:rsidR="00454288" w:rsidRDefault="00897E9A">
      <w:pPr>
        <w:pStyle w:val="a1"/>
      </w:pPr>
      <w:r>
        <w:t xml:space="preserve">К моменту столкновения угро-финнов и славян, появл. </w:t>
      </w:r>
      <w:r>
        <w:rPr>
          <w:i/>
        </w:rPr>
        <w:t>варяжский вопрос</w:t>
      </w:r>
      <w:r>
        <w:t>.</w:t>
      </w:r>
    </w:p>
    <w:p w14:paraId="5D4AE0AB" w14:textId="77777777" w:rsidR="00454288" w:rsidRDefault="00897E9A">
      <w:pPr>
        <w:pStyle w:val="a1"/>
      </w:pPr>
      <w:r>
        <w:lastRenderedPageBreak/>
        <w:t>Последние раскопки Др. Ладоги дают данные о мирном сосуществ</w:t>
      </w:r>
      <w:r>
        <w:t>о</w:t>
      </w:r>
      <w:r>
        <w:t>вании сла</w:t>
      </w:r>
      <w:r>
        <w:t>вян и варягов в одних населённых пунктах. Историки предпол</w:t>
      </w:r>
      <w:r>
        <w:t>о</w:t>
      </w:r>
      <w:r>
        <w:t xml:space="preserve">жили, что </w:t>
      </w:r>
      <w:r>
        <w:rPr>
          <w:b/>
        </w:rPr>
        <w:t xml:space="preserve">варяги выступали как </w:t>
      </w:r>
      <w:r>
        <w:rPr>
          <w:b/>
          <w:i/>
        </w:rPr>
        <w:t>элитарная группа</w:t>
      </w:r>
      <w:r>
        <w:t xml:space="preserve"> (см. имена всех пе</w:t>
      </w:r>
      <w:r>
        <w:t>р</w:t>
      </w:r>
      <w:r>
        <w:t>вых рус. князей/княгинь). «Приходите к нам княжить» – вероятно, образ желания варягов к контролю над реками (и торговлей) и желани</w:t>
      </w:r>
      <w:r>
        <w:t>я мирных славян (осваивающих новые земли) иметь защитников. Иногда варяги о</w:t>
      </w:r>
      <w:r>
        <w:t>т</w:t>
      </w:r>
      <w:r>
        <w:t>воёвывали территории у финно-угров для славян.</w:t>
      </w:r>
    </w:p>
    <w:p w14:paraId="1C99DA7D" w14:textId="77777777" w:rsidR="00454288" w:rsidRPr="00897E9A" w:rsidRDefault="00897E9A" w:rsidP="00897E9A">
      <w:pPr>
        <w:pStyle w:val="3"/>
        <w:numPr>
          <w:ilvl w:val="0"/>
          <w:numId w:val="0"/>
        </w:numPr>
        <w:ind w:firstLine="709"/>
        <w:rPr>
          <w:b/>
          <w:i/>
        </w:rPr>
      </w:pPr>
      <w:bookmarkStart w:id="2" w:name="вопрос-о-хождении-ап.-андрея-по-руси"/>
      <w:bookmarkEnd w:id="2"/>
      <w:r w:rsidRPr="00897E9A">
        <w:rPr>
          <w:b/>
          <w:i/>
        </w:rPr>
        <w:t>Вопрос о хождении ап. Андрея по Руси</w:t>
      </w:r>
    </w:p>
    <w:p w14:paraId="555FA322" w14:textId="77777777" w:rsidR="00454288" w:rsidRDefault="00897E9A">
      <w:pPr>
        <w:pStyle w:val="FirstParagraph"/>
      </w:pPr>
      <w:r>
        <w:t>См. в «Ист Рус. церкви» у митр. Макария Булгакова и в одноименном труде Е.Е. Голубинского.</w:t>
      </w:r>
    </w:p>
    <w:p w14:paraId="51023242" w14:textId="77777777" w:rsidR="00454288" w:rsidRDefault="00897E9A">
      <w:pPr>
        <w:pStyle w:val="a1"/>
      </w:pPr>
      <w:r>
        <w:t>На эт</w:t>
      </w:r>
      <w:r>
        <w:t>ой традиции строится ряд трад. русских традиций, напр. андр</w:t>
      </w:r>
      <w:r>
        <w:t>е</w:t>
      </w:r>
      <w:r>
        <w:t xml:space="preserve">евский флаг. Существовала </w:t>
      </w:r>
      <w:r>
        <w:rPr>
          <w:i/>
        </w:rPr>
        <w:t>источниковая традиция</w:t>
      </w:r>
      <w:r>
        <w:t xml:space="preserve"> о хождении ап. А</w:t>
      </w:r>
      <w:r>
        <w:t>н</w:t>
      </w:r>
      <w:r>
        <w:t>дрея, и самые ранние источники говорят о его «хождении в Скифию»</w:t>
      </w:r>
      <w:r>
        <w:rPr>
          <w:rStyle w:val="affd"/>
        </w:rPr>
        <w:footnoteReference w:id="3"/>
      </w:r>
      <w:r>
        <w:t>. Митр. Макарий один из первых показывает, что источники III–IVвв.</w:t>
      </w:r>
      <w:r>
        <w:t xml:space="preserve"> об этом активно говорят. Существовала развёрнутая </w:t>
      </w:r>
      <w:r>
        <w:rPr>
          <w:i/>
        </w:rPr>
        <w:t>политическая</w:t>
      </w:r>
      <w:r>
        <w:t xml:space="preserve"> легенда о хождении ап. Андрея в сев. странах.</w:t>
      </w:r>
    </w:p>
    <w:p w14:paraId="5C4EDED3" w14:textId="77777777" w:rsidR="00454288" w:rsidRDefault="00897E9A">
      <w:pPr>
        <w:pStyle w:val="a1"/>
      </w:pPr>
      <w:r>
        <w:rPr>
          <w:b/>
        </w:rPr>
        <w:t>К IXв. в Конст. на основе ранних источников могла сложиться полит. легенда, что причерноморье было местом проповеди апост</w:t>
      </w:r>
      <w:r>
        <w:rPr>
          <w:b/>
        </w:rPr>
        <w:t>о</w:t>
      </w:r>
      <w:r>
        <w:rPr>
          <w:b/>
        </w:rPr>
        <w:t>ла</w:t>
      </w:r>
      <w:r>
        <w:t xml:space="preserve"> (мб даже без акцента </w:t>
      </w:r>
      <w:r>
        <w:t>на Андрее). Это была карта, разыгранная в пол</w:t>
      </w:r>
      <w:r>
        <w:t>и</w:t>
      </w:r>
      <w:r>
        <w:t>тич. противостоянии с Римом, где проповедовал ап. Пётр. У нас, вероятно, эту легенду уже приняли не столько как полит., сколько как часть пред</w:t>
      </w:r>
      <w:r>
        <w:t>а</w:t>
      </w:r>
      <w:r>
        <w:t>ния. В разных редакциях она разошлась по Руси, уже с соотв. политич</w:t>
      </w:r>
      <w:r>
        <w:t>. с</w:t>
      </w:r>
      <w:r>
        <w:t>и</w:t>
      </w:r>
      <w:r>
        <w:t>туациям отличиями.</w:t>
      </w:r>
    </w:p>
    <w:p w14:paraId="58C71E1E" w14:textId="77777777" w:rsidR="00454288" w:rsidRDefault="00897E9A">
      <w:pPr>
        <w:pStyle w:val="a1"/>
      </w:pPr>
      <w:r>
        <w:lastRenderedPageBreak/>
        <w:t>Путь из Виз. (из Причерноморья) в Новгород закрепился в XIв., это был один из слав. водных путей.</w:t>
      </w:r>
    </w:p>
    <w:p w14:paraId="69DB3A17" w14:textId="77777777" w:rsidR="00454288" w:rsidRPr="00897E9A" w:rsidRDefault="00897E9A" w:rsidP="00897E9A">
      <w:pPr>
        <w:pStyle w:val="3"/>
        <w:numPr>
          <w:ilvl w:val="0"/>
          <w:numId w:val="0"/>
        </w:numPr>
        <w:ind w:firstLine="709"/>
        <w:rPr>
          <w:b/>
          <w:i/>
        </w:rPr>
      </w:pPr>
      <w:bookmarkStart w:id="3" w:name="христианство-до-крещения-кн.-владимира"/>
      <w:bookmarkEnd w:id="3"/>
      <w:r w:rsidRPr="00897E9A">
        <w:rPr>
          <w:b/>
          <w:i/>
        </w:rPr>
        <w:t>Христианство до крещения кн. Владимира</w:t>
      </w:r>
    </w:p>
    <w:p w14:paraId="1A50725A" w14:textId="77777777" w:rsidR="00454288" w:rsidRDefault="00897E9A">
      <w:pPr>
        <w:pStyle w:val="FirstParagraph"/>
      </w:pPr>
      <w:r>
        <w:rPr>
          <w:b/>
        </w:rPr>
        <w:t>Неясности вокруг крещения кн. Владимира</w:t>
      </w:r>
      <w:r>
        <w:t>:</w:t>
      </w:r>
      <w:r>
        <w:br/>
      </w:r>
      <w:r>
        <w:t>Уже в XIв. сущ. разные точки зрения по поводу места крещения кн. Вл</w:t>
      </w:r>
      <w:r>
        <w:t>а</w:t>
      </w:r>
      <w:r>
        <w:t>димира: Корсунь, Киев, др. Возм., крещение кн. не было публичным, т.к. никто не помнит, как оно произошло.</w:t>
      </w:r>
    </w:p>
    <w:p w14:paraId="1B3FB30D" w14:textId="77777777" w:rsidR="00454288" w:rsidRDefault="00897E9A">
      <w:pPr>
        <w:pStyle w:val="a1"/>
      </w:pPr>
      <w:r>
        <w:t>Всё же, был поход на Корсунь и брак с Анной, – оч компромиссный для Византии, сов</w:t>
      </w:r>
      <w:r>
        <w:t>сем не желавшей родства с варварами. При этом, кр</w:t>
      </w:r>
      <w:r>
        <w:t>е</w:t>
      </w:r>
      <w:r>
        <w:t>ститься мог бы князь в Киеве, где была христ. община, хотя там могло не быть еп., а быть только священники.</w:t>
      </w:r>
    </w:p>
    <w:p w14:paraId="75C4B0B8" w14:textId="77777777" w:rsidR="00454288" w:rsidRDefault="00897E9A">
      <w:pPr>
        <w:pStyle w:val="a1"/>
      </w:pPr>
      <w:r>
        <w:t>До Xв. существовало несколько причерномор. епархий, в т.ч. доко</w:t>
      </w:r>
      <w:r>
        <w:t>н</w:t>
      </w:r>
      <w:r>
        <w:t xml:space="preserve">стантиновский Херсонес. Они потом </w:t>
      </w:r>
      <w:r>
        <w:t>стали одной из опор рус. церкви, позволившей им выжить (важно, что был не только Константинополь).</w:t>
      </w:r>
    </w:p>
    <w:p w14:paraId="15BC6920" w14:textId="77777777" w:rsidR="00454288" w:rsidRDefault="00897E9A">
      <w:pPr>
        <w:pStyle w:val="a1"/>
      </w:pPr>
      <w:r>
        <w:t>Многие народы вокруг Руси были крещены раньше. Договор кн. Иг</w:t>
      </w:r>
      <w:r>
        <w:t>о</w:t>
      </w:r>
      <w:r>
        <w:t>ря с Византией показывает, что одни клянутся Перуном, а др. – на Еванг</w:t>
      </w:r>
      <w:r>
        <w:t>е</w:t>
      </w:r>
      <w:r>
        <w:t>лии. Кн. Ольга была крещ</w:t>
      </w:r>
      <w:r>
        <w:t>ена и имела при себе священника, более того, по виз. источникам она уже приезжает в Византию крещёной (по нашим – чтобы креститься).</w:t>
      </w:r>
    </w:p>
    <w:p w14:paraId="7819A1DA" w14:textId="77777777" w:rsidR="00454288" w:rsidRDefault="00897E9A">
      <w:pPr>
        <w:pStyle w:val="a1"/>
      </w:pPr>
      <w:r>
        <w:rPr>
          <w:b/>
        </w:rPr>
        <w:t>Ольга делает многое для дальнейшей жизни христианской церкви. Она реформирует сбор дани</w:t>
      </w:r>
      <w:r>
        <w:rPr>
          <w:rStyle w:val="affd"/>
        </w:rPr>
        <w:footnoteReference w:id="4"/>
      </w:r>
      <w:r>
        <w:t xml:space="preserve">: устанавливает </w:t>
      </w:r>
      <w:r>
        <w:rPr>
          <w:i/>
        </w:rPr>
        <w:t>погосты</w:t>
      </w:r>
      <w:r>
        <w:t xml:space="preserve">. </w:t>
      </w:r>
      <w:r>
        <w:rPr>
          <w:i/>
        </w:rPr>
        <w:t>Погосты</w:t>
      </w:r>
      <w:r>
        <w:t xml:space="preserve"> </w:t>
      </w:r>
      <w:r>
        <w:t xml:space="preserve">определяет территорию, кот. соотв. индивидуальный </w:t>
      </w:r>
      <w:r>
        <w:rPr>
          <w:i/>
        </w:rPr>
        <w:t>урок</w:t>
      </w:r>
      <w:r>
        <w:t xml:space="preserve"> (кол-во дани). </w:t>
      </w:r>
      <w:r>
        <w:rPr>
          <w:i/>
        </w:rPr>
        <w:t>Погосты</w:t>
      </w:r>
      <w:r>
        <w:t xml:space="preserve"> стали первой адм. единицей. Управляли погостами </w:t>
      </w:r>
      <w:r>
        <w:rPr>
          <w:i/>
        </w:rPr>
        <w:t>тиуны</w:t>
      </w:r>
      <w:r>
        <w:t xml:space="preserve">, т.е. </w:t>
      </w:r>
      <w:r>
        <w:lastRenderedPageBreak/>
        <w:t xml:space="preserve">князь не ездил собирать дань &gt;&gt;&gt; возможность для внешней экспансии. Если мы знаем об этой реформе, значит она была </w:t>
      </w:r>
      <w:r>
        <w:rPr>
          <w:i/>
        </w:rPr>
        <w:t>эфф</w:t>
      </w:r>
      <w:r>
        <w:rPr>
          <w:i/>
        </w:rPr>
        <w:t>ективной</w:t>
      </w:r>
      <w:r>
        <w:t>. Впервые несколько регионов были соединены в централизованной системе. Пре</w:t>
      </w:r>
      <w:r>
        <w:t>д</w:t>
      </w:r>
      <w:r>
        <w:t>полагают, что реформа охватила даже северо-запад, т.к. Ольга была пск</w:t>
      </w:r>
      <w:r>
        <w:t>о</w:t>
      </w:r>
      <w:r>
        <w:t>витянкой и стоящие особняком Новгород и Псков её уважали.</w:t>
      </w:r>
    </w:p>
    <w:p w14:paraId="0A630F00" w14:textId="77777777" w:rsidR="00454288" w:rsidRDefault="00897E9A">
      <w:pPr>
        <w:pStyle w:val="a1"/>
      </w:pPr>
      <w:r>
        <w:t xml:space="preserve">На эту-то идею связанности территории можно </w:t>
      </w:r>
      <w:r>
        <w:t>было наложить и с</w:t>
      </w:r>
      <w:r>
        <w:t>и</w:t>
      </w:r>
      <w:r>
        <w:t>стему епархий, и идею единой веры.</w:t>
      </w:r>
    </w:p>
    <w:p w14:paraId="15432E92" w14:textId="77777777" w:rsidR="00454288" w:rsidRPr="00897E9A" w:rsidRDefault="00897E9A" w:rsidP="00897E9A">
      <w:pPr>
        <w:pStyle w:val="3"/>
        <w:numPr>
          <w:ilvl w:val="0"/>
          <w:numId w:val="0"/>
        </w:numPr>
        <w:ind w:firstLine="709"/>
        <w:rPr>
          <w:b/>
          <w:i/>
        </w:rPr>
      </w:pPr>
      <w:bookmarkStart w:id="4" w:name="формирование-и-развитие-церковной-органи"/>
      <w:bookmarkEnd w:id="4"/>
      <w:r w:rsidRPr="00897E9A">
        <w:rPr>
          <w:b/>
          <w:i/>
        </w:rPr>
        <w:t>Формирование и развитие церковной организации на Руси</w:t>
      </w:r>
    </w:p>
    <w:p w14:paraId="4D5E5A06" w14:textId="77777777" w:rsidR="00454288" w:rsidRDefault="00897E9A">
      <w:pPr>
        <w:pStyle w:val="FirstParagraph"/>
      </w:pPr>
      <w:r>
        <w:rPr>
          <w:b/>
        </w:rPr>
        <w:t>Источников на первые полвека после крещения кн. Владимира оч мало</w:t>
      </w:r>
      <w:r>
        <w:t xml:space="preserve"> &gt;&gt;&gt; вопрос историков. Впервые греч. митр. Фиопемпт упомянут в 1039г. (уже после сме</w:t>
      </w:r>
      <w:r>
        <w:t>рти Владимира). В Киеве в 1037г. строится митроп</w:t>
      </w:r>
      <w:r>
        <w:t>о</w:t>
      </w:r>
      <w:r>
        <w:t>личий собор в Киеве. Мб Русь не входила в Конст. патриархат.</w:t>
      </w:r>
    </w:p>
    <w:p w14:paraId="37B080DB" w14:textId="77777777" w:rsidR="00454288" w:rsidRDefault="00897E9A">
      <w:pPr>
        <w:pStyle w:val="a1"/>
      </w:pPr>
      <w:r>
        <w:t>Мб кн. Владимир к XIв. меняет своё геополитическое положение и прекращает контакты с Византией. До нач. XIв. на Руси были регулярные послы от Рима</w:t>
      </w:r>
      <w:r>
        <w:t>. Также, десятина на содержание церкви на Руси – это з</w:t>
      </w:r>
      <w:r>
        <w:t>а</w:t>
      </w:r>
      <w:r>
        <w:t>падн. элемент, кот. нет в Византии (в таком виде). Из Корсуни в Киев (в «Десятинную церковь») были перенесены мощи св. Климента Римского.</w:t>
      </w:r>
      <w:r>
        <w:rPr>
          <w:rStyle w:val="affd"/>
        </w:rPr>
        <w:footnoteReference w:id="5"/>
      </w:r>
    </w:p>
    <w:p w14:paraId="094C21E3" w14:textId="77777777" w:rsidR="00454288" w:rsidRDefault="00897E9A">
      <w:pPr>
        <w:pStyle w:val="a1"/>
      </w:pPr>
      <w:r>
        <w:t>Важным св-вом митрополии на Руси до 1037г. явл-ся упоминание р</w:t>
      </w:r>
      <w:r>
        <w:t>усской кафедры в виз. перечне кафедр, за 988 годом. &gt;&gt;&gt; митрополия была учреждена сразу после крещения, и была подчинена Конст. патриа</w:t>
      </w:r>
      <w:r>
        <w:t>р</w:t>
      </w:r>
      <w:r>
        <w:t>ху</w:t>
      </w:r>
      <w:r>
        <w:rPr>
          <w:rStyle w:val="affd"/>
        </w:rPr>
        <w:footnoteReference w:id="6"/>
      </w:r>
      <w:r>
        <w:t>.</w:t>
      </w:r>
    </w:p>
    <w:p w14:paraId="48BCAA27" w14:textId="77777777" w:rsidR="00454288" w:rsidRDefault="00897E9A">
      <w:pPr>
        <w:pStyle w:val="a1"/>
      </w:pPr>
      <w:r>
        <w:rPr>
          <w:b/>
        </w:rPr>
        <w:lastRenderedPageBreak/>
        <w:t>Открыт вопрос о подчинении рус. митрополии</w:t>
      </w:r>
      <w:r>
        <w:t xml:space="preserve"> Конст-лю или Охридской правосл. церкви или Риму / др. евр. архиепп..</w:t>
      </w:r>
    </w:p>
    <w:p w14:paraId="08D865D9" w14:textId="77777777" w:rsidR="00454288" w:rsidRDefault="00897E9A">
      <w:pPr>
        <w:pStyle w:val="a1"/>
      </w:pPr>
      <w:r>
        <w:t>Есть</w:t>
      </w:r>
      <w:r>
        <w:t xml:space="preserve"> и др. св-ва, о митрополитах от Византи на Руси: Один виз. ист</w:t>
      </w:r>
      <w:r>
        <w:t>о</w:t>
      </w:r>
      <w:r>
        <w:t>рик XIVв. св-вует, что в кон. Xв. на Русь был переведён севастийский (виз.) еп. Также, сохр. свинцовая печать рубежа X-XIв. с надписью «Богородица, помози Иоанну, митр. Руси», но больше нигде т</w:t>
      </w:r>
      <w:r>
        <w:t>акой митр. не упоминае</w:t>
      </w:r>
      <w:r>
        <w:t>т</w:t>
      </w:r>
      <w:r>
        <w:t>ся.</w:t>
      </w:r>
    </w:p>
    <w:p w14:paraId="70C7FAD7" w14:textId="77777777" w:rsidR="00454288" w:rsidRDefault="00897E9A">
      <w:pPr>
        <w:pStyle w:val="a1"/>
      </w:pPr>
      <w:r>
        <w:t xml:space="preserve">Видимо, учреждение Киевской Софии (1037) было шагом </w:t>
      </w:r>
      <w:r>
        <w:rPr>
          <w:b/>
        </w:rPr>
        <w:t>возврата Руси к Византии</w:t>
      </w:r>
      <w:r>
        <w:t xml:space="preserve"> – чтобы было где осесть виз. митрополиту (1039).</w:t>
      </w:r>
    </w:p>
    <w:p w14:paraId="42EEEF1C" w14:textId="77777777" w:rsidR="00454288" w:rsidRDefault="00897E9A">
      <w:pPr>
        <w:pStyle w:val="a1"/>
      </w:pPr>
      <w:r>
        <w:t>Один из первых храмов, о кот. мы знаем на Руси – «Десятинная це</w:t>
      </w:r>
      <w:r>
        <w:t>р</w:t>
      </w:r>
      <w:r>
        <w:t xml:space="preserve">ковь» пресв. Богородицы. По уставу кн. </w:t>
      </w:r>
      <w:r>
        <w:t>Владимира именно в эту ц. соб</w:t>
      </w:r>
      <w:r>
        <w:t>и</w:t>
      </w:r>
      <w:r>
        <w:t>ралсь кн. десятина для ц.. По фундаменту предполагается, что она была заложена сразу по крещению князя. Богослужебная утварь, облачения (и мощи св. Климента) были взяты из ближ. епархии – Корсуни. Владимир привёз и священников</w:t>
      </w:r>
      <w:r>
        <w:t xml:space="preserve">. Так, эта церковь стала </w:t>
      </w:r>
      <w:r>
        <w:rPr>
          <w:i/>
        </w:rPr>
        <w:t>княжеско-церковным це</w:t>
      </w:r>
      <w:r>
        <w:rPr>
          <w:i/>
        </w:rPr>
        <w:t>н</w:t>
      </w:r>
      <w:r>
        <w:rPr>
          <w:i/>
        </w:rPr>
        <w:t>тром</w:t>
      </w:r>
      <w:r>
        <w:t>, государственно-церковным институтом сотрудничества князя с епархиями. С учреждением в XIIв. Смол. епископии, оттуда были выдел</w:t>
      </w:r>
      <w:r>
        <w:t>е</w:t>
      </w:r>
      <w:r>
        <w:t xml:space="preserve">ны средства на её существования. &gt;&gt;&gt; </w:t>
      </w:r>
      <w:r>
        <w:rPr>
          <w:b/>
        </w:rPr>
        <w:t>храмы были не только лит. це</w:t>
      </w:r>
      <w:r>
        <w:rPr>
          <w:b/>
        </w:rPr>
        <w:t>н</w:t>
      </w:r>
      <w:r>
        <w:rPr>
          <w:b/>
        </w:rPr>
        <w:t xml:space="preserve">трами, но </w:t>
      </w:r>
      <w:r>
        <w:rPr>
          <w:b/>
        </w:rPr>
        <w:t>и хозяйственными, управленческими.</w:t>
      </w:r>
    </w:p>
    <w:p w14:paraId="6357D951" w14:textId="77777777" w:rsidR="00454288" w:rsidRDefault="00897E9A">
      <w:pPr>
        <w:pStyle w:val="a1"/>
      </w:pPr>
      <w:r>
        <w:t>Рус. епархии далее создаются на десятинные деньги.</w:t>
      </w:r>
    </w:p>
    <w:p w14:paraId="3C38D197" w14:textId="77777777" w:rsidR="00454288" w:rsidRDefault="00897E9A">
      <w:pPr>
        <w:pStyle w:val="a1"/>
      </w:pPr>
      <w:r>
        <w:t>Митрополии сразу предполагались, видимо, к разветвлению на еп</w:t>
      </w:r>
      <w:r>
        <w:t>и</w:t>
      </w:r>
      <w:r>
        <w:t xml:space="preserve">скопии. К сожалению, дат их основания не осталось, кроме некоторых (Смол. епархия – 1136). Лишь в летописях </w:t>
      </w:r>
      <w:r>
        <w:t>XV–XVIвв. можно встретить рассказ, что вместе с митр. на Русь пришли ок. 6 епп.</w:t>
      </w:r>
    </w:p>
    <w:p w14:paraId="6ACD6D89" w14:textId="77777777" w:rsidR="00454288" w:rsidRDefault="00897E9A">
      <w:pPr>
        <w:pStyle w:val="a1"/>
      </w:pPr>
      <w:r>
        <w:t>За распространением церкви стояла идея: не должно оставаться рус. земель вне охвата кафедр.</w:t>
      </w:r>
    </w:p>
    <w:p w14:paraId="65F01F3F" w14:textId="77777777" w:rsidR="00454288" w:rsidRDefault="00897E9A">
      <w:pPr>
        <w:pStyle w:val="a1"/>
      </w:pPr>
      <w:r>
        <w:rPr>
          <w:b/>
        </w:rPr>
        <w:t>Первые епископии:</w:t>
      </w:r>
    </w:p>
    <w:p w14:paraId="47EBA51A" w14:textId="77777777" w:rsidR="00454288" w:rsidRDefault="00897E9A">
      <w:pPr>
        <w:pStyle w:val="Compact"/>
        <w:numPr>
          <w:ilvl w:val="0"/>
          <w:numId w:val="39"/>
        </w:numPr>
      </w:pPr>
      <w:r>
        <w:lastRenderedPageBreak/>
        <w:t>Новгородская. Новг. ист. традиция св. учреждение Новг. кафедры с И</w:t>
      </w:r>
      <w:r>
        <w:t>оакимом Корсуняниным (+1030). Эта епархия имела выраженный мисс. хар-р из-за окружения язз. народов.</w:t>
      </w:r>
    </w:p>
    <w:p w14:paraId="3629C1E5" w14:textId="77777777" w:rsidR="00454288" w:rsidRDefault="00897E9A">
      <w:pPr>
        <w:pStyle w:val="Compact"/>
        <w:numPr>
          <w:ilvl w:val="0"/>
          <w:numId w:val="39"/>
        </w:numPr>
      </w:pPr>
      <w:r>
        <w:t>Вышгород. Есть упоминание об освящении церкви еп. Лукой (1072).</w:t>
      </w:r>
    </w:p>
    <w:p w14:paraId="7B0033CC" w14:textId="77777777" w:rsidR="00454288" w:rsidRDefault="00897E9A">
      <w:pPr>
        <w:pStyle w:val="Compact"/>
        <w:numPr>
          <w:ilvl w:val="0"/>
          <w:numId w:val="39"/>
        </w:numPr>
      </w:pPr>
      <w:r>
        <w:t>Белгород (старый, под Киевом). Вероятно, учреждена Владимиром</w:t>
      </w:r>
      <w:r>
        <w:rPr>
          <w:rStyle w:val="affd"/>
        </w:rPr>
        <w:footnoteReference w:id="7"/>
      </w:r>
      <w:r>
        <w:t>. Также, упомянут Лука (1088)</w:t>
      </w:r>
    </w:p>
    <w:p w14:paraId="51D00F7F" w14:textId="77777777" w:rsidR="00454288" w:rsidRDefault="00897E9A">
      <w:pPr>
        <w:pStyle w:val="Compact"/>
        <w:numPr>
          <w:ilvl w:val="0"/>
          <w:numId w:val="39"/>
        </w:numPr>
      </w:pPr>
      <w:r>
        <w:t>Чернигов. Огромная епархия: от Днепра до Десны</w:t>
      </w:r>
    </w:p>
    <w:p w14:paraId="35EF54AD" w14:textId="77777777" w:rsidR="00454288" w:rsidRDefault="00897E9A">
      <w:pPr>
        <w:pStyle w:val="Compact"/>
        <w:numPr>
          <w:ilvl w:val="0"/>
          <w:numId w:val="39"/>
        </w:numPr>
      </w:pPr>
      <w:r>
        <w:t>Переяслав (под Киевом). Каменная каф. церковь освящена в кон. XIв., а дерев. собор мог существовать раньше. Видимо, тоже управлялся К</w:t>
      </w:r>
      <w:r>
        <w:t>и</w:t>
      </w:r>
      <w:r>
        <w:t>евом.</w:t>
      </w:r>
    </w:p>
    <w:p w14:paraId="39904D03" w14:textId="77777777" w:rsidR="00454288" w:rsidRDefault="00897E9A">
      <w:pPr>
        <w:pStyle w:val="Compact"/>
        <w:numPr>
          <w:ilvl w:val="0"/>
          <w:numId w:val="39"/>
        </w:numPr>
      </w:pPr>
      <w:r>
        <w:t>Полоцк. Нач. XIв..</w:t>
      </w:r>
    </w:p>
    <w:p w14:paraId="6FE72F99" w14:textId="77777777" w:rsidR="00454288" w:rsidRDefault="00897E9A">
      <w:pPr>
        <w:pStyle w:val="Compact"/>
        <w:numPr>
          <w:ilvl w:val="0"/>
          <w:numId w:val="39"/>
        </w:numPr>
      </w:pPr>
      <w:r>
        <w:t>Владимир–Волынский. Упоминания епископии – кон. X</w:t>
      </w:r>
      <w:r>
        <w:t>Iв.</w:t>
      </w:r>
    </w:p>
    <w:p w14:paraId="1319F3AD" w14:textId="77777777" w:rsidR="00454288" w:rsidRDefault="00897E9A">
      <w:pPr>
        <w:pStyle w:val="FirstParagraph"/>
      </w:pPr>
      <w:r>
        <w:t>Епарх. структура разбросана по всей стране, образуют границы нов</w:t>
      </w:r>
      <w:r>
        <w:t>о</w:t>
      </w:r>
      <w:r>
        <w:t>го христ. гос-ва.</w:t>
      </w:r>
    </w:p>
    <w:p w14:paraId="65A5E752" w14:textId="77777777" w:rsidR="00454288" w:rsidRDefault="00897E9A">
      <w:pPr>
        <w:pStyle w:val="a1"/>
      </w:pPr>
      <w:r>
        <w:t xml:space="preserve">Далее появл епископии: Смоленск, Владимир, Галич, Перемышль. &gt;&gt;&gt; </w:t>
      </w:r>
      <w:r>
        <w:rPr>
          <w:b/>
        </w:rPr>
        <w:t>~16 еп. кафедр домонгольской эпохи</w:t>
      </w:r>
    </w:p>
    <w:p w14:paraId="28A82CD3" w14:textId="77777777" w:rsidR="00454288" w:rsidRPr="00897E9A" w:rsidRDefault="00897E9A" w:rsidP="00897E9A">
      <w:pPr>
        <w:pStyle w:val="20"/>
        <w:numPr>
          <w:ilvl w:val="0"/>
          <w:numId w:val="0"/>
        </w:numPr>
        <w:ind w:firstLine="709"/>
        <w:rPr>
          <w:u w:val="single"/>
        </w:rPr>
      </w:pPr>
      <w:bookmarkStart w:id="5" w:name="дз"/>
      <w:bookmarkEnd w:id="5"/>
      <w:r w:rsidRPr="00897E9A">
        <w:rPr>
          <w:u w:val="single"/>
        </w:rPr>
        <w:t>ДЗ:</w:t>
      </w:r>
    </w:p>
    <w:p w14:paraId="56CC740A" w14:textId="77777777" w:rsidR="00454288" w:rsidRDefault="00897E9A">
      <w:pPr>
        <w:pStyle w:val="Compact"/>
        <w:numPr>
          <w:ilvl w:val="0"/>
          <w:numId w:val="40"/>
        </w:numPr>
      </w:pPr>
      <w:r>
        <w:t>принести, для контекста: «Яковлев, Атлас по истории Русской церкви X–XVI вв.»</w:t>
      </w:r>
    </w:p>
    <w:p w14:paraId="7C8C9838" w14:textId="77777777" w:rsidR="00454288" w:rsidRDefault="00897E9A">
      <w:pPr>
        <w:pStyle w:val="Compact"/>
        <w:numPr>
          <w:ilvl w:val="0"/>
          <w:numId w:val="40"/>
        </w:numPr>
      </w:pPr>
      <w:r>
        <w:rPr>
          <w:b/>
        </w:rPr>
        <w:t>доклады по главам (одна глава на человека):</w:t>
      </w:r>
      <w:r>
        <w:t xml:space="preserve"> о. Константин К</w:t>
      </w:r>
      <w:r>
        <w:t>о</w:t>
      </w:r>
      <w:r>
        <w:t xml:space="preserve">стромин: «Князь Владимир и истоки русской церковной традиции» (можно прочитать сравнительно тексты на аналогичн. темы </w:t>
      </w:r>
      <w:r>
        <w:t>у др. и</w:t>
      </w:r>
      <w:r>
        <w:t>с</w:t>
      </w:r>
      <w:r>
        <w:t>ториков: Федотова, Смолича, Голубинского, Булгакова и т.д.)</w:t>
      </w:r>
    </w:p>
    <w:sectPr w:rsidR="00454288" w:rsidSect="00F515C6">
      <w:footerReference w:type="default" r:id="rId8"/>
      <w:pgSz w:w="11907" w:h="16840" w:code="9"/>
      <w:pgMar w:top="1134" w:right="567" w:bottom="1134" w:left="1418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697D3" w14:textId="77777777" w:rsidR="00000000" w:rsidRDefault="00897E9A">
      <w:pPr>
        <w:spacing w:before="0" w:line="240" w:lineRule="auto"/>
      </w:pPr>
      <w:r>
        <w:separator/>
      </w:r>
    </w:p>
  </w:endnote>
  <w:endnote w:type="continuationSeparator" w:id="0">
    <w:p w14:paraId="7EF137C8" w14:textId="77777777" w:rsidR="00000000" w:rsidRDefault="00897E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050878"/>
      <w:docPartObj>
        <w:docPartGallery w:val="Page Numbers (Top of Page)"/>
        <w:docPartUnique/>
      </w:docPartObj>
    </w:sdtPr>
    <w:sdtEndPr/>
    <w:sdtContent>
      <w:p w14:paraId="25BE437B" w14:textId="77777777" w:rsidR="00156102" w:rsidRPr="00212F4C" w:rsidRDefault="00897E9A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88E76" w14:textId="77777777" w:rsidR="00454288" w:rsidRDefault="00897E9A">
      <w:r>
        <w:separator/>
      </w:r>
    </w:p>
  </w:footnote>
  <w:footnote w:type="continuationSeparator" w:id="0">
    <w:p w14:paraId="371BEF39" w14:textId="77777777" w:rsidR="00454288" w:rsidRDefault="00897E9A">
      <w:r>
        <w:continuationSeparator/>
      </w:r>
    </w:p>
  </w:footnote>
  <w:footnote w:id="1">
    <w:p w14:paraId="75200925" w14:textId="77777777" w:rsidR="00454288" w:rsidRDefault="00897E9A">
      <w:pPr>
        <w:pStyle w:val="af1"/>
      </w:pPr>
      <w:r>
        <w:rPr>
          <w:rStyle w:val="affd"/>
        </w:rPr>
        <w:footnoteRef/>
      </w:r>
      <w:r>
        <w:t xml:space="preserve"> По берегам рус. рек находили клады монет из Персии и Китая.</w:t>
      </w:r>
    </w:p>
  </w:footnote>
  <w:footnote w:id="2">
    <w:p w14:paraId="690BC780" w14:textId="77777777" w:rsidR="00454288" w:rsidRDefault="00897E9A">
      <w:pPr>
        <w:pStyle w:val="af1"/>
      </w:pPr>
      <w:r>
        <w:rPr>
          <w:rStyle w:val="affd"/>
        </w:rPr>
        <w:footnoteRef/>
      </w:r>
      <w:r>
        <w:t xml:space="preserve"> </w:t>
      </w:r>
      <w:r>
        <w:t>Финские женщины придумали одноразовую посуду из бересты и расстворимую в кипятке вяленную еду:)</w:t>
      </w:r>
    </w:p>
  </w:footnote>
  <w:footnote w:id="3">
    <w:p w14:paraId="03F16B78" w14:textId="77777777" w:rsidR="00454288" w:rsidRDefault="00897E9A">
      <w:pPr>
        <w:pStyle w:val="af1"/>
      </w:pPr>
      <w:r>
        <w:rPr>
          <w:rStyle w:val="affd"/>
        </w:rPr>
        <w:footnoteRef/>
      </w:r>
      <w:r>
        <w:t xml:space="preserve"> Вероятно, имеются ввиду придунайские земли.</w:t>
      </w:r>
    </w:p>
  </w:footnote>
  <w:footnote w:id="4">
    <w:p w14:paraId="5FB498A2" w14:textId="77777777" w:rsidR="00454288" w:rsidRDefault="00897E9A">
      <w:pPr>
        <w:pStyle w:val="af1"/>
      </w:pPr>
      <w:r>
        <w:rPr>
          <w:rStyle w:val="affd"/>
        </w:rPr>
        <w:footnoteRef/>
      </w:r>
      <w:r>
        <w:t xml:space="preserve"> Судя по всему, восстание древлян было мятежём, вызванным именно неясностью в кол-ве и частоте сбора дани.</w:t>
      </w:r>
    </w:p>
  </w:footnote>
  <w:footnote w:id="5">
    <w:p w14:paraId="2E5067FA" w14:textId="77777777" w:rsidR="00454288" w:rsidRDefault="00897E9A">
      <w:pPr>
        <w:pStyle w:val="af1"/>
      </w:pPr>
      <w:r>
        <w:rPr>
          <w:rStyle w:val="affd"/>
        </w:rPr>
        <w:footnoteRef/>
      </w:r>
      <w:r>
        <w:t xml:space="preserve"> Он б</w:t>
      </w:r>
      <w:r>
        <w:t>ыл оч почитаемым святым, лишь много позже вытесненным св. Ник. Чудотворцем.</w:t>
      </w:r>
    </w:p>
  </w:footnote>
  <w:footnote w:id="6">
    <w:p w14:paraId="5DB1B597" w14:textId="77777777" w:rsidR="00454288" w:rsidRDefault="00897E9A">
      <w:pPr>
        <w:pStyle w:val="af1"/>
      </w:pPr>
      <w:r>
        <w:rPr>
          <w:rStyle w:val="affd"/>
        </w:rPr>
        <w:footnoteRef/>
      </w:r>
      <w:r>
        <w:t xml:space="preserve"> Титулатура в правосл. церквах оч разнится. В гр. и финской церкви архиепископ старше митрополита, кот. лишь митрополию возглавляет. У нас старше митрополит, потому с крещением Ру</w:t>
      </w:r>
      <w:r>
        <w:t>си появляется митрополит, не архиепископ.</w:t>
      </w:r>
    </w:p>
  </w:footnote>
  <w:footnote w:id="7">
    <w:p w14:paraId="05903E8C" w14:textId="77777777" w:rsidR="00454288" w:rsidRDefault="00897E9A">
      <w:pPr>
        <w:pStyle w:val="af1"/>
      </w:pPr>
      <w:r>
        <w:rPr>
          <w:rStyle w:val="affd"/>
        </w:rPr>
        <w:footnoteRef/>
      </w:r>
      <w:r>
        <w:t xml:space="preserve"> Город не имел своего князя, а значит, дб закреплён за киевским князем. Вообще часто кафедры возникали в первое время в городах, непосредственно подчинённых киев. кн..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D34EE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0596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7F8A33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80"/>
    <w:multiLevelType w:val="singleLevel"/>
    <w:tmpl w:val="DF764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0FB02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2184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D5801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65C9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67A9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0B6EE"/>
    <w:multiLevelType w:val="multilevel"/>
    <w:tmpl w:val="C7DCFE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64760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0F8A56C"/>
    <w:multiLevelType w:val="multilevel"/>
    <w:tmpl w:val="02409A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D5964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7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7"/>
  </w:num>
  <w:num w:numId="2">
    <w:abstractNumId w:val="19"/>
  </w:num>
  <w:num w:numId="3">
    <w:abstractNumId w:val="25"/>
  </w:num>
  <w:num w:numId="4">
    <w:abstractNumId w:val="26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24"/>
  </w:num>
  <w:num w:numId="33">
    <w:abstractNumId w:val="22"/>
  </w:num>
  <w:num w:numId="34">
    <w:abstractNumId w:val="23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54288"/>
    <w:rsid w:val="004E29B3"/>
    <w:rsid w:val="00590D07"/>
    <w:rsid w:val="00784D58"/>
    <w:rsid w:val="00897E9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AB5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uiPriority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144AD1"/>
    <w:pPr>
      <w:spacing w:before="120" w:line="360" w:lineRule="auto"/>
      <w:jc w:val="both"/>
    </w:pPr>
    <w:rPr>
      <w:rFonts w:ascii="PT Serif" w:hAnsi="PT Serif"/>
      <w:sz w:val="28"/>
    </w:rPr>
  </w:style>
  <w:style w:type="paragraph" w:styleId="12">
    <w:name w:val="heading 1"/>
    <w:basedOn w:val="a0"/>
    <w:next w:val="20"/>
    <w:link w:val="13"/>
    <w:uiPriority w:val="9"/>
    <w:qFormat/>
    <w:rsid w:val="00000AFE"/>
    <w:pPr>
      <w:keepNext/>
      <w:pageBreakBefore/>
      <w:numPr>
        <w:numId w:val="1"/>
      </w:numPr>
      <w:tabs>
        <w:tab w:val="left" w:pos="567"/>
      </w:tabs>
      <w:suppressAutoHyphens/>
      <w:spacing w:after="360"/>
      <w:ind w:left="0" w:firstLine="0"/>
      <w:jc w:val="center"/>
      <w:outlineLvl w:val="0"/>
    </w:pPr>
    <w:rPr>
      <w:caps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CA2F34"/>
    <w:pPr>
      <w:numPr>
        <w:ilvl w:val="4"/>
      </w:numPr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12"/>
    <w:next w:val="a1"/>
    <w:link w:val="60"/>
    <w:uiPriority w:val="9"/>
    <w:qFormat/>
    <w:rsid w:val="00B65D58"/>
    <w:pPr>
      <w:numPr>
        <w:numId w:val="0"/>
      </w:numPr>
      <w:outlineLvl w:val="5"/>
    </w:pPr>
    <w:rPr>
      <w:bCs/>
      <w:szCs w:val="22"/>
    </w:rPr>
  </w:style>
  <w:style w:type="paragraph" w:styleId="7">
    <w:name w:val="heading 7"/>
    <w:basedOn w:val="20"/>
    <w:next w:val="a0"/>
    <w:link w:val="70"/>
    <w:qFormat/>
    <w:rsid w:val="00B65D58"/>
    <w:pPr>
      <w:numPr>
        <w:ilvl w:val="0"/>
        <w:numId w:val="0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CA2F34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B65D58"/>
    <w:rPr>
      <w:rFonts w:ascii="PT Serif" w:hAnsi="PT Serif"/>
      <w:bCs/>
      <w:caps/>
      <w:sz w:val="28"/>
      <w:szCs w:val="22"/>
      <w:lang w:eastAsia="x-none"/>
    </w:rPr>
  </w:style>
  <w:style w:type="character" w:customStyle="1" w:styleId="70">
    <w:name w:val="Заголовок 7 Знак"/>
    <w:link w:val="7"/>
    <w:rsid w:val="00B65D58"/>
    <w:rPr>
      <w:rFonts w:ascii="PT Serif" w:eastAsia="MS Mincho" w:hAnsi="PT Serif"/>
      <w:b/>
      <w:bCs/>
      <w:iCs/>
      <w:sz w:val="28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000AFE"/>
    <w:pPr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000AFE"/>
    <w:pPr>
      <w:tabs>
        <w:tab w:val="right" w:leader="dot" w:pos="1019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46041"/>
    <w:pPr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46041"/>
    <w:pPr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146041"/>
    <w:pPr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000AFE"/>
    <w:rPr>
      <w:rFonts w:ascii="PT Serif" w:hAnsi="PT Serif"/>
      <w:caps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ac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d">
    <w:name w:val="Title"/>
    <w:basedOn w:val="a0"/>
    <w:next w:val="-"/>
    <w:link w:val="ae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e">
    <w:name w:val="Название Знак"/>
    <w:link w:val="ad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f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B66BF3"/>
    <w:pPr>
      <w:numPr>
        <w:numId w:val="0"/>
      </w:numPr>
    </w:pPr>
  </w:style>
  <w:style w:type="character" w:customStyle="1" w:styleId="UnnumberedHeading10">
    <w:name w:val="UnnumberedHeading1 Знак"/>
    <w:basedOn w:val="13"/>
    <w:link w:val="UnnumberedHeading1"/>
    <w:rsid w:val="00B66BF3"/>
    <w:rPr>
      <w:rFonts w:ascii="PT Serif" w:hAnsi="PT Serif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0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B01A33"/>
    <w:pPr>
      <w:jc w:val="center"/>
    </w:pPr>
    <w:rPr>
      <w:rFonts w:ascii="PT Serif" w:hAnsi="PT Serif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D35F3B"/>
    <w:pPr>
      <w:spacing w:after="0"/>
      <w:jc w:val="center"/>
    </w:pPr>
    <w:rPr>
      <w:rFonts w:ascii="PT Serif" w:hAnsi="PT Serif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1">
    <w:name w:val="footnote text"/>
    <w:basedOn w:val="a0"/>
    <w:link w:val="af2"/>
    <w:uiPriority w:val="9"/>
    <w:unhideWhenUsed/>
    <w:qFormat/>
    <w:rsid w:val="00144AD1"/>
    <w:pPr>
      <w:spacing w:before="0" w:line="240" w:lineRule="auto"/>
      <w:jc w:val="left"/>
    </w:pPr>
    <w:rPr>
      <w:rFonts w:eastAsiaTheme="minorHAnsi" w:cstheme="minorBidi"/>
      <w:sz w:val="22"/>
      <w:szCs w:val="24"/>
      <w:lang w:val="en-US" w:eastAsia="en-US"/>
    </w:rPr>
  </w:style>
  <w:style w:type="character" w:customStyle="1" w:styleId="af2">
    <w:name w:val="Текст сноски Знак"/>
    <w:basedOn w:val="a2"/>
    <w:link w:val="af1"/>
    <w:uiPriority w:val="9"/>
    <w:rsid w:val="00144AD1"/>
    <w:rPr>
      <w:rFonts w:ascii="PT Serif" w:eastAsiaTheme="minorHAnsi" w:hAnsi="PT Serif" w:cstheme="minorBidi"/>
      <w:sz w:val="22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552C6E"/>
    <w:rPr>
      <w:rFonts w:ascii="PT Serif" w:eastAsiaTheme="minorHAnsi" w:hAnsi="PT Serif" w:cstheme="minorBidi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3">
    <w:name w:val="Hyperlink"/>
    <w:basedOn w:val="a2"/>
    <w:uiPriority w:val="99"/>
    <w:unhideWhenUsed/>
    <w:rsid w:val="00FA4C79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4">
    <w:name w:val="Обычный с отступом"/>
    <w:basedOn w:val="a0"/>
    <w:link w:val="af5"/>
    <w:qFormat/>
    <w:locked/>
    <w:rsid w:val="00212F4C"/>
    <w:pPr>
      <w:spacing w:line="348" w:lineRule="auto"/>
      <w:ind w:firstLine="709"/>
    </w:pPr>
  </w:style>
  <w:style w:type="character" w:customStyle="1" w:styleId="af5">
    <w:name w:val="Обычный с отступом Знак"/>
    <w:basedOn w:val="a2"/>
    <w:link w:val="af4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6">
    <w:name w:val="Обычный без интервала"/>
    <w:basedOn w:val="a0"/>
    <w:link w:val="af7"/>
    <w:qFormat/>
    <w:rsid w:val="00C14EAD"/>
    <w:pPr>
      <w:spacing w:line="240" w:lineRule="auto"/>
    </w:pPr>
    <w:rPr>
      <w:lang w:eastAsia="ja-JP"/>
    </w:rPr>
  </w:style>
  <w:style w:type="character" w:customStyle="1" w:styleId="af7">
    <w:name w:val="Обычный без интервала Знак"/>
    <w:basedOn w:val="a2"/>
    <w:link w:val="af6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8">
    <w:name w:val="Название организации"/>
    <w:basedOn w:val="-"/>
    <w:link w:val="af9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a">
    <w:name w:val="Экземпляры"/>
    <w:basedOn w:val="a0"/>
    <w:link w:val="afb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9">
    <w:name w:val="Название организации Знак"/>
    <w:basedOn w:val="-0"/>
    <w:link w:val="af8"/>
    <w:rsid w:val="00F5249F"/>
    <w:rPr>
      <w:rFonts w:ascii="PT Serif" w:hAnsi="PT Serif"/>
      <w:sz w:val="24"/>
    </w:rPr>
  </w:style>
  <w:style w:type="paragraph" w:customStyle="1" w:styleId="afc">
    <w:name w:val="УДК"/>
    <w:basedOn w:val="a0"/>
    <w:link w:val="afd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b">
    <w:name w:val="Экземпляры Знак"/>
    <w:basedOn w:val="a2"/>
    <w:link w:val="afa"/>
    <w:rsid w:val="00F5249F"/>
    <w:rPr>
      <w:rFonts w:ascii="PT Serif" w:eastAsia="Calibri" w:hAnsi="PT Serif"/>
      <w:sz w:val="24"/>
      <w:szCs w:val="24"/>
    </w:rPr>
  </w:style>
  <w:style w:type="paragraph" w:customStyle="1" w:styleId="afe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d">
    <w:name w:val="УДК Знак"/>
    <w:basedOn w:val="a2"/>
    <w:link w:val="afc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f">
    <w:name w:val="Subtitle"/>
    <w:basedOn w:val="a0"/>
    <w:next w:val="a0"/>
    <w:link w:val="aff0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0">
    <w:name w:val="Подзаголовок Знак"/>
    <w:basedOn w:val="a2"/>
    <w:link w:val="aff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1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2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tabs>
        <w:tab w:val="clear" w:pos="567"/>
      </w:tabs>
      <w:suppressAutoHyphens w:val="0"/>
      <w:spacing w:before="240" w:after="0"/>
      <w:jc w:val="both"/>
      <w:outlineLvl w:val="9"/>
    </w:pPr>
    <w:rPr>
      <w:rFonts w:eastAsiaTheme="majorEastAsia" w:cstheme="majorBidi"/>
      <w:caps w:val="0"/>
      <w:color w:val="365F91" w:themeColor="accent1" w:themeShade="BF"/>
      <w:szCs w:val="32"/>
      <w:lang w:eastAsia="ru-RU"/>
    </w:rPr>
  </w:style>
  <w:style w:type="paragraph" w:styleId="aff3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4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5">
    <w:name w:val="Plain Text"/>
    <w:basedOn w:val="a0"/>
    <w:link w:val="aff6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6">
    <w:name w:val="Обычный текст Знак"/>
    <w:basedOn w:val="a2"/>
    <w:link w:val="aff5"/>
    <w:semiHidden/>
    <w:rsid w:val="00293F4E"/>
    <w:rPr>
      <w:rFonts w:ascii="PT Serif" w:hAnsi="PT Serif"/>
      <w:sz w:val="21"/>
      <w:szCs w:val="21"/>
    </w:rPr>
  </w:style>
  <w:style w:type="paragraph" w:styleId="aff7">
    <w:name w:val="Balloon Text"/>
    <w:basedOn w:val="a0"/>
    <w:link w:val="aff8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8">
    <w:name w:val="Текст выноски Знак"/>
    <w:basedOn w:val="a2"/>
    <w:link w:val="aff7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9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a">
    <w:name w:val="Block Text"/>
    <w:basedOn w:val="a0"/>
    <w:uiPriority w:val="9"/>
    <w:unhideWhenUsed/>
    <w:qFormat/>
    <w:rsid w:val="0095100E"/>
    <w:pPr>
      <w:spacing w:before="0" w:line="288" w:lineRule="auto"/>
      <w:ind w:firstLine="720"/>
    </w:pPr>
    <w:rPr>
      <w:rFonts w:eastAsiaTheme="minorEastAsia" w:cstheme="minorBidi"/>
      <w:sz w:val="24"/>
      <w:szCs w:val="24"/>
    </w:rPr>
  </w:style>
  <w:style w:type="paragraph" w:styleId="affb">
    <w:name w:val="Message Header"/>
    <w:basedOn w:val="a0"/>
    <w:link w:val="affc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c">
    <w:name w:val="Заголовок сообщения Знак"/>
    <w:basedOn w:val="a2"/>
    <w:link w:val="affb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37EEF"/>
    <w:pPr>
      <w:numPr>
        <w:ilvl w:val="0"/>
        <w:numId w:val="0"/>
      </w:numPr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E664CC"/>
    <w:pPr>
      <w:ind w:firstLine="706"/>
    </w:pPr>
    <w:rPr>
      <w:szCs w:val="24"/>
      <w:vertAlign w:val="superscript"/>
    </w:rPr>
  </w:style>
  <w:style w:type="table" w:customStyle="1" w:styleId="TableStyleAbbreviations">
    <w:name w:val="TableStyleAbbreviations"/>
    <w:basedOn w:val="a3"/>
    <w:uiPriority w:val="99"/>
    <w:rsid w:val="00727D7E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9053E4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character" w:styleId="affd">
    <w:name w:val="footnote reference"/>
    <w:basedOn w:val="a2"/>
    <w:unhideWhenUsed/>
    <w:rsid w:val="00E664CC"/>
    <w:rPr>
      <w:vertAlign w:val="superscript"/>
    </w:rPr>
  </w:style>
  <w:style w:type="paragraph" w:styleId="affe">
    <w:name w:val="Intense Quote"/>
    <w:basedOn w:val="a0"/>
    <w:next w:val="a0"/>
    <w:link w:val="afff"/>
    <w:uiPriority w:val="30"/>
    <w:qFormat/>
    <w:rsid w:val="008D0A54"/>
    <w:pPr>
      <w:spacing w:before="0" w:line="240" w:lineRule="auto"/>
      <w:ind w:firstLine="720"/>
    </w:pPr>
    <w:rPr>
      <w:sz w:val="24"/>
      <w:szCs w:val="24"/>
    </w:rPr>
  </w:style>
  <w:style w:type="character" w:customStyle="1" w:styleId="afff">
    <w:name w:val="Выделенная цитата Знак"/>
    <w:basedOn w:val="a2"/>
    <w:link w:val="affe"/>
    <w:uiPriority w:val="30"/>
    <w:rsid w:val="008D0A54"/>
    <w:rPr>
      <w:rFonts w:ascii="PT Serif" w:hAnsi="PT Serif"/>
      <w:sz w:val="24"/>
      <w:szCs w:val="24"/>
    </w:rPr>
  </w:style>
  <w:style w:type="character" w:customStyle="1" w:styleId="KeywordTok">
    <w:name w:val="KeywordTok"/>
    <w:basedOn w:val="VerbatimChar"/>
    <w:rPr>
      <w:rFonts w:ascii="PT Mono" w:hAnsi="PT Mono"/>
      <w:b/>
      <w:i w:val="0"/>
      <w:color w:val="007020"/>
      <w:sz w:val="24"/>
    </w:rPr>
  </w:style>
  <w:style w:type="character" w:customStyle="1" w:styleId="DataTypeTok">
    <w:name w:val="DataTypeTok"/>
    <w:basedOn w:val="VerbatimChar"/>
    <w:rPr>
      <w:rFonts w:ascii="PT Mono" w:hAnsi="PT Mono"/>
      <w:b w:val="0"/>
      <w:i w:val="0"/>
      <w:color w:val="902000"/>
      <w:sz w:val="24"/>
    </w:rPr>
  </w:style>
  <w:style w:type="character" w:customStyle="1" w:styleId="DecValTok">
    <w:name w:val="DecValTok"/>
    <w:basedOn w:val="VerbatimChar"/>
    <w:rPr>
      <w:rFonts w:ascii="PT Mono" w:hAnsi="PT Mono"/>
      <w:b w:val="0"/>
      <w:i w:val="0"/>
      <w:color w:val="40A070"/>
      <w:sz w:val="24"/>
    </w:rPr>
  </w:style>
  <w:style w:type="character" w:customStyle="1" w:styleId="BaseNTok">
    <w:name w:val="BaseNTok"/>
    <w:basedOn w:val="VerbatimChar"/>
    <w:rPr>
      <w:rFonts w:ascii="PT Mono" w:hAnsi="PT Mono"/>
      <w:b w:val="0"/>
      <w:i w:val="0"/>
      <w:color w:val="40A070"/>
      <w:sz w:val="24"/>
    </w:rPr>
  </w:style>
  <w:style w:type="character" w:customStyle="1" w:styleId="FloatTok">
    <w:name w:val="FloatTok"/>
    <w:basedOn w:val="VerbatimChar"/>
    <w:rPr>
      <w:rFonts w:ascii="PT Mono" w:hAnsi="PT Mono"/>
      <w:b w:val="0"/>
      <w:i w:val="0"/>
      <w:color w:val="40A070"/>
      <w:sz w:val="24"/>
    </w:rPr>
  </w:style>
  <w:style w:type="character" w:customStyle="1" w:styleId="ConstantTok">
    <w:name w:val="ConstantTok"/>
    <w:basedOn w:val="VerbatimChar"/>
    <w:rPr>
      <w:rFonts w:ascii="PT Mono" w:hAnsi="PT Mono"/>
      <w:b w:val="0"/>
      <w:i w:val="0"/>
      <w:color w:val="880000"/>
      <w:sz w:val="24"/>
    </w:rPr>
  </w:style>
  <w:style w:type="character" w:customStyle="1" w:styleId="CharTok">
    <w:name w:val="CharTok"/>
    <w:basedOn w:val="VerbatimChar"/>
    <w:rPr>
      <w:rFonts w:ascii="PT Mono" w:hAnsi="PT Mono"/>
      <w:b w:val="0"/>
      <w:i w:val="0"/>
      <w:color w:val="4070A0"/>
      <w:sz w:val="24"/>
    </w:rPr>
  </w:style>
  <w:style w:type="character" w:customStyle="1" w:styleId="SpecialCharTok">
    <w:name w:val="SpecialCharTok"/>
    <w:basedOn w:val="VerbatimChar"/>
    <w:rPr>
      <w:rFonts w:ascii="PT Mono" w:hAnsi="PT Mono"/>
      <w:b w:val="0"/>
      <w:i w:val="0"/>
      <w:color w:val="4070A0"/>
      <w:sz w:val="24"/>
    </w:rPr>
  </w:style>
  <w:style w:type="character" w:customStyle="1" w:styleId="StringTok">
    <w:name w:val="StringTok"/>
    <w:basedOn w:val="VerbatimChar"/>
    <w:rPr>
      <w:rFonts w:ascii="PT Mono" w:hAnsi="PT Mono"/>
      <w:b w:val="0"/>
      <w:i w:val="0"/>
      <w:color w:val="4070A0"/>
      <w:sz w:val="24"/>
    </w:rPr>
  </w:style>
  <w:style w:type="character" w:customStyle="1" w:styleId="VerbatimStringTok">
    <w:name w:val="VerbatimStringTok"/>
    <w:basedOn w:val="VerbatimChar"/>
    <w:rPr>
      <w:rFonts w:ascii="PT Mono" w:hAnsi="PT Mono"/>
      <w:b w:val="0"/>
      <w:i w:val="0"/>
      <w:color w:val="4070A0"/>
      <w:sz w:val="24"/>
    </w:rPr>
  </w:style>
  <w:style w:type="character" w:customStyle="1" w:styleId="SpecialStringTok">
    <w:name w:val="SpecialStringTok"/>
    <w:basedOn w:val="VerbatimChar"/>
    <w:rPr>
      <w:rFonts w:ascii="PT Mono" w:hAnsi="PT Mono"/>
      <w:b w:val="0"/>
      <w:i w:val="0"/>
      <w:color w:val="BB6688"/>
      <w:sz w:val="24"/>
    </w:rPr>
  </w:style>
  <w:style w:type="character" w:customStyle="1" w:styleId="ImportTok">
    <w:name w:val="ImportTok"/>
    <w:basedOn w:val="VerbatimChar"/>
    <w:rPr>
      <w:rFonts w:ascii="PT Mono" w:hAnsi="PT Mono"/>
      <w:b w:val="0"/>
      <w:i w:val="0"/>
      <w:sz w:val="24"/>
    </w:rPr>
  </w:style>
  <w:style w:type="character" w:customStyle="1" w:styleId="CommentTok">
    <w:name w:val="CommentTok"/>
    <w:basedOn w:val="VerbatimChar"/>
    <w:rPr>
      <w:rFonts w:ascii="PT Mono" w:hAnsi="PT Mono"/>
      <w:b w:val="0"/>
      <w:i/>
      <w:color w:val="60A0B0"/>
      <w:sz w:val="24"/>
    </w:rPr>
  </w:style>
  <w:style w:type="character" w:customStyle="1" w:styleId="DocumentationTok">
    <w:name w:val="DocumentationTok"/>
    <w:basedOn w:val="VerbatimChar"/>
    <w:rPr>
      <w:rFonts w:ascii="PT Mono" w:hAnsi="PT Mono"/>
      <w:b w:val="0"/>
      <w:i/>
      <w:color w:val="BA2121"/>
      <w:sz w:val="24"/>
    </w:rPr>
  </w:style>
  <w:style w:type="character" w:customStyle="1" w:styleId="AnnotationTok">
    <w:name w:val="AnnotationTok"/>
    <w:basedOn w:val="VerbatimChar"/>
    <w:rPr>
      <w:rFonts w:ascii="PT Mono" w:hAnsi="PT Mono"/>
      <w:b/>
      <w:i/>
      <w:color w:val="60A0B0"/>
      <w:sz w:val="24"/>
    </w:rPr>
  </w:style>
  <w:style w:type="character" w:customStyle="1" w:styleId="CommentVarTok">
    <w:name w:val="CommentVarTok"/>
    <w:basedOn w:val="VerbatimChar"/>
    <w:rPr>
      <w:rFonts w:ascii="PT Mono" w:hAnsi="PT Mono"/>
      <w:b/>
      <w:i/>
      <w:color w:val="60A0B0"/>
      <w:sz w:val="24"/>
    </w:rPr>
  </w:style>
  <w:style w:type="character" w:customStyle="1" w:styleId="OtherTok">
    <w:name w:val="OtherTok"/>
    <w:basedOn w:val="VerbatimChar"/>
    <w:rPr>
      <w:rFonts w:ascii="PT Mono" w:hAnsi="PT Mono"/>
      <w:b w:val="0"/>
      <w:i w:val="0"/>
      <w:color w:val="007020"/>
      <w:sz w:val="24"/>
    </w:rPr>
  </w:style>
  <w:style w:type="character" w:customStyle="1" w:styleId="FunctionTok">
    <w:name w:val="FunctionTok"/>
    <w:basedOn w:val="VerbatimChar"/>
    <w:rPr>
      <w:rFonts w:ascii="PT Mono" w:hAnsi="PT Mono"/>
      <w:b w:val="0"/>
      <w:i w:val="0"/>
      <w:color w:val="06287E"/>
      <w:sz w:val="24"/>
    </w:rPr>
  </w:style>
  <w:style w:type="character" w:customStyle="1" w:styleId="VariableTok">
    <w:name w:val="VariableTok"/>
    <w:basedOn w:val="VerbatimChar"/>
    <w:rPr>
      <w:rFonts w:ascii="PT Mono" w:hAnsi="PT Mono"/>
      <w:b w:val="0"/>
      <w:i w:val="0"/>
      <w:color w:val="19177C"/>
      <w:sz w:val="24"/>
    </w:rPr>
  </w:style>
  <w:style w:type="character" w:customStyle="1" w:styleId="ControlFlowTok">
    <w:name w:val="ControlFlowTok"/>
    <w:basedOn w:val="VerbatimChar"/>
    <w:rPr>
      <w:rFonts w:ascii="PT Mono" w:hAnsi="PT Mono"/>
      <w:b/>
      <w:i w:val="0"/>
      <w:color w:val="007020"/>
      <w:sz w:val="24"/>
    </w:rPr>
  </w:style>
  <w:style w:type="character" w:customStyle="1" w:styleId="OperatorTok">
    <w:name w:val="OperatorTok"/>
    <w:basedOn w:val="VerbatimChar"/>
    <w:rPr>
      <w:rFonts w:ascii="PT Mono" w:hAnsi="PT Mono"/>
      <w:b w:val="0"/>
      <w:i w:val="0"/>
      <w:color w:val="666666"/>
      <w:sz w:val="24"/>
    </w:rPr>
  </w:style>
  <w:style w:type="character" w:customStyle="1" w:styleId="BuiltInTok">
    <w:name w:val="BuiltInTok"/>
    <w:basedOn w:val="VerbatimChar"/>
    <w:rPr>
      <w:rFonts w:ascii="PT Mono" w:hAnsi="PT Mono"/>
      <w:b w:val="0"/>
      <w:i w:val="0"/>
      <w:sz w:val="24"/>
    </w:rPr>
  </w:style>
  <w:style w:type="character" w:customStyle="1" w:styleId="ExtensionTok">
    <w:name w:val="ExtensionTok"/>
    <w:basedOn w:val="VerbatimChar"/>
    <w:rPr>
      <w:rFonts w:ascii="PT Mono" w:hAnsi="PT Mono"/>
      <w:b w:val="0"/>
      <w:i w:val="0"/>
      <w:sz w:val="24"/>
    </w:rPr>
  </w:style>
  <w:style w:type="character" w:customStyle="1" w:styleId="PreprocessorTok">
    <w:name w:val="PreprocessorTok"/>
    <w:basedOn w:val="VerbatimChar"/>
    <w:rPr>
      <w:rFonts w:ascii="PT Mono" w:hAnsi="PT Mono"/>
      <w:b w:val="0"/>
      <w:i w:val="0"/>
      <w:color w:val="BC7A00"/>
      <w:sz w:val="24"/>
    </w:rPr>
  </w:style>
  <w:style w:type="character" w:customStyle="1" w:styleId="AttributeTok">
    <w:name w:val="AttributeTok"/>
    <w:basedOn w:val="VerbatimChar"/>
    <w:rPr>
      <w:rFonts w:ascii="PT Mono" w:hAnsi="PT Mono"/>
      <w:b w:val="0"/>
      <w:i w:val="0"/>
      <w:color w:val="7D9029"/>
      <w:sz w:val="24"/>
    </w:rPr>
  </w:style>
  <w:style w:type="character" w:customStyle="1" w:styleId="RegionMarkerTok">
    <w:name w:val="RegionMarkerTok"/>
    <w:basedOn w:val="VerbatimChar"/>
    <w:rPr>
      <w:rFonts w:ascii="PT Mono" w:hAnsi="PT Mono"/>
      <w:b w:val="0"/>
      <w:i w:val="0"/>
      <w:sz w:val="24"/>
    </w:rPr>
  </w:style>
  <w:style w:type="character" w:customStyle="1" w:styleId="InformationTok">
    <w:name w:val="InformationTok"/>
    <w:basedOn w:val="VerbatimChar"/>
    <w:rPr>
      <w:rFonts w:ascii="PT Mono" w:hAnsi="PT Mono"/>
      <w:b/>
      <w:i/>
      <w:color w:val="60A0B0"/>
      <w:sz w:val="24"/>
    </w:rPr>
  </w:style>
  <w:style w:type="character" w:customStyle="1" w:styleId="WarningTok">
    <w:name w:val="WarningTok"/>
    <w:basedOn w:val="VerbatimChar"/>
    <w:rPr>
      <w:rFonts w:ascii="PT Mono" w:hAnsi="PT Mono"/>
      <w:b/>
      <w:i/>
      <w:color w:val="60A0B0"/>
      <w:sz w:val="24"/>
    </w:rPr>
  </w:style>
  <w:style w:type="character" w:customStyle="1" w:styleId="AlertTok">
    <w:name w:val="AlertTok"/>
    <w:basedOn w:val="VerbatimChar"/>
    <w:rPr>
      <w:rFonts w:ascii="PT Mono" w:hAnsi="PT Mono"/>
      <w:b/>
      <w:i w:val="0"/>
      <w:color w:val="FF0000"/>
      <w:sz w:val="24"/>
    </w:rPr>
  </w:style>
  <w:style w:type="character" w:customStyle="1" w:styleId="ErrorTok">
    <w:name w:val="ErrorTok"/>
    <w:basedOn w:val="VerbatimChar"/>
    <w:rPr>
      <w:rFonts w:ascii="PT Mono" w:hAnsi="PT Mono"/>
      <w:b/>
      <w:i w:val="0"/>
      <w:color w:val="FF0000"/>
      <w:sz w:val="24"/>
    </w:rPr>
  </w:style>
  <w:style w:type="character" w:customStyle="1" w:styleId="NormalTok">
    <w:name w:val="NormalTok"/>
    <w:basedOn w:val="VerbatimChar"/>
    <w:rPr>
      <w:rFonts w:ascii="PT Mono" w:hAnsi="PT Mono"/>
      <w:b w:val="0"/>
      <w:i w:val="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1324</Words>
  <Characters>7552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8859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Verity</cp:lastModifiedBy>
  <cp:revision>2</cp:revision>
  <dcterms:created xsi:type="dcterms:W3CDTF">2018-09-20T20:25:00Z</dcterms:created>
  <dcterms:modified xsi:type="dcterms:W3CDTF">2018-09-20T20:27:00Z</dcterms:modified>
</cp:coreProperties>
</file>