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2"/>
      </w:pPr>
      <w:bookmarkStart w:id="21" w:name="section"/>
      <w:bookmarkEnd w:id="21"/>
    </w:p>
    <w:p>
      <w:pPr>
        <w:pStyle w:val="affa"/>
      </w:pPr>
      <w:r>
        <w:rPr>
          <w:i/>
        </w:rPr>
        <w:t xml:space="preserve">дисциплина:</w:t>
      </w:r>
      <w:r>
        <w:t xml:space="preserve"> </w:t>
      </w:r>
      <w:r>
        <w:t xml:space="preserve">Особенности богослужебных чинов Востока</w:t>
      </w:r>
      <w:r>
        <w:br w:type="textWrapping"/>
      </w:r>
      <w:r>
        <w:rPr>
          <w:i/>
        </w:rPr>
        <w:t xml:space="preserve">преподаватель:</w:t>
      </w:r>
      <w:r>
        <w:t xml:space="preserve"> </w:t>
      </w:r>
      <w:r>
        <w:t xml:space="preserve">З. М. Дашевская</w:t>
      </w:r>
      <w:r>
        <w:br w:type="textWrapping"/>
      </w:r>
      <w:r>
        <w:t xml:space="preserve">20.09.18</w:t>
      </w:r>
    </w:p>
    <w:p>
      <w:pPr>
        <w:pStyle w:val="20"/>
      </w:pPr>
      <w:bookmarkStart w:id="22" w:name="лекция"/>
      <w:bookmarkEnd w:id="22"/>
      <w:r>
        <w:t xml:space="preserve">Лекция</w:t>
      </w:r>
    </w:p>
    <w:p>
      <w:pPr>
        <w:pStyle w:val="3"/>
      </w:pPr>
      <w:bookmarkStart w:id="23" w:name="александрийские-анафоры"/>
      <w:bookmarkEnd w:id="23"/>
      <w:r>
        <w:t xml:space="preserve">Александрийские анафоры</w:t>
      </w:r>
    </w:p>
    <w:p>
      <w:pPr>
        <w:pStyle w:val="FirstParagraph"/>
      </w:pPr>
      <w:r>
        <w:t xml:space="preserve">Источники:</w:t>
      </w:r>
    </w:p>
    <w:p>
      <w:pPr>
        <w:pStyle w:val="Compact"/>
        <w:numPr>
          <w:numId w:val="1001"/>
          <w:ilvl w:val="0"/>
        </w:numPr>
      </w:pPr>
      <w:r>
        <w:t xml:space="preserve">«Барселонский папирус»</w:t>
      </w:r>
    </w:p>
    <w:p>
      <w:pPr>
        <w:pStyle w:val="FirstParagraph"/>
      </w:pPr>
      <w:r>
        <w:t xml:space="preserve">Характерные особенности Алекс. анафор:</w:t>
      </w:r>
    </w:p>
    <w:p>
      <w:pPr>
        <w:pStyle w:val="Compact"/>
        <w:numPr>
          <w:numId w:val="1002"/>
          <w:ilvl w:val="0"/>
        </w:numPr>
      </w:pPr>
      <w:r>
        <w:t xml:space="preserve">опр. порядок частей</w:t>
      </w:r>
    </w:p>
    <w:p>
      <w:pPr>
        <w:pStyle w:val="Compact"/>
        <w:numPr>
          <w:numId w:val="1002"/>
          <w:ilvl w:val="0"/>
        </w:numPr>
      </w:pPr>
      <w:r>
        <w:t xml:space="preserve">вступ. нач с «Господь с вами»</w:t>
      </w:r>
    </w:p>
    <w:p>
      <w:pPr>
        <w:pStyle w:val="Compact"/>
        <w:numPr>
          <w:numId w:val="1002"/>
          <w:ilvl w:val="0"/>
        </w:numPr>
      </w:pPr>
      <w:r>
        <w:t xml:space="preserve">префацио содержит благодарность Богу за творение мира и человека и спасение через Христа</w:t>
      </w:r>
    </w:p>
    <w:p>
      <w:pPr>
        <w:pStyle w:val="Compact"/>
        <w:numPr>
          <w:numId w:val="1002"/>
          <w:ilvl w:val="0"/>
        </w:numPr>
      </w:pPr>
      <w:r>
        <w:t xml:space="preserve">интерцессию объёмный, имеет сходство с Александр. ект.</w:t>
      </w:r>
    </w:p>
    <w:p>
      <w:pPr>
        <w:pStyle w:val="Compact"/>
        <w:numPr>
          <w:numId w:val="1002"/>
          <w:ilvl w:val="0"/>
        </w:numPr>
      </w:pPr>
      <w:r>
        <w:t xml:space="preserve">санктус: краткий, без «осанны»</w:t>
      </w:r>
    </w:p>
    <w:p>
      <w:pPr>
        <w:pStyle w:val="Compact"/>
        <w:numPr>
          <w:numId w:val="1002"/>
          <w:ilvl w:val="0"/>
        </w:numPr>
      </w:pPr>
      <w:r>
        <w:t xml:space="preserve">2 эпиклесиса:</w:t>
      </w:r>
    </w:p>
    <w:p>
      <w:pPr>
        <w:pStyle w:val="Compact"/>
        <w:numPr>
          <w:numId w:val="1003"/>
          <w:ilvl w:val="1"/>
        </w:numPr>
      </w:pPr>
      <w:r>
        <w:t xml:space="preserve">эпиклесис</w:t>
      </w:r>
      <w:r>
        <w:t xml:space="preserve"> </w:t>
      </w:r>
      <w:r>
        <w:rPr>
          <w:i/>
        </w:rPr>
        <w:t xml:space="preserve">восходящий</w:t>
      </w:r>
      <w:r>
        <w:t xml:space="preserve">: прошение об исполнении принесённых даров Св Духом/силой/благословением/«приносим Тебе прошения эти…»</w:t>
      </w:r>
      <w:r>
        <w:rPr>
          <w:rStyle w:val="affd"/>
        </w:rPr>
        <w:footnoteReference w:id="24"/>
      </w:r>
    </w:p>
    <w:p>
      <w:pPr>
        <w:pStyle w:val="Compact"/>
        <w:numPr>
          <w:numId w:val="1003"/>
          <w:ilvl w:val="1"/>
        </w:numPr>
      </w:pPr>
      <w:r>
        <w:t xml:space="preserve">эпиклесис</w:t>
      </w:r>
      <w:r>
        <w:t xml:space="preserve"> </w:t>
      </w:r>
      <w:r>
        <w:rPr>
          <w:i/>
        </w:rPr>
        <w:t xml:space="preserve">нисходящий</w:t>
      </w:r>
      <w:r>
        <w:t xml:space="preserve">: считается, что он был добавлен под конст. влиянием, т.к. в Конст. принят нисходящий эп-сис</w:t>
      </w:r>
    </w:p>
    <w:p>
      <w:pPr>
        <w:pStyle w:val="FirstParagraph"/>
      </w:pPr>
      <w:r>
        <w:t xml:space="preserve">Византинизация поглотила местную трад-ю к XIIв., Алекс. анафоры перестали использоваться.</w:t>
      </w:r>
      <w:r>
        <w:t xml:space="preserve"> </w:t>
      </w:r>
      <w:r>
        <w:t xml:space="preserve">Алекс. анафоры встречаются на разных языках, но осн. – греческий.</w:t>
      </w:r>
    </w:p>
    <w:p>
      <w:pPr>
        <w:pStyle w:val="3"/>
      </w:pPr>
      <w:bookmarkStart w:id="25" w:name="восточно-сирийские-анафоры"/>
      <w:bookmarkEnd w:id="25"/>
      <w:r>
        <w:t xml:space="preserve">Восточно-сирийские анафоры</w:t>
      </w:r>
    </w:p>
    <w:p>
      <w:pPr>
        <w:pStyle w:val="FirstParagraph"/>
      </w:pPr>
      <w:r>
        <w:t xml:space="preserve">Возм., это древн. антиох. анафоры, до распространения там анатол. типа.</w:t>
      </w:r>
    </w:p>
    <w:p>
      <w:pPr>
        <w:pStyle w:val="a1"/>
      </w:pPr>
      <w:r>
        <w:t xml:space="preserve">источники: анафора Аддай</w:t>
      </w:r>
      <w:r>
        <w:rPr>
          <w:rStyle w:val="affd"/>
        </w:rPr>
        <w:footnoteReference w:id="26"/>
      </w:r>
      <w:r>
        <w:t xml:space="preserve"> </w:t>
      </w:r>
      <w:r>
        <w:t xml:space="preserve">и Мари</w:t>
      </w:r>
    </w:p>
    <w:p>
      <w:pPr>
        <w:pStyle w:val="a1"/>
      </w:pPr>
      <w:r>
        <w:t xml:space="preserve">структура:</w:t>
      </w:r>
    </w:p>
    <w:p>
      <w:pPr>
        <w:pStyle w:val="Compact"/>
        <w:numPr>
          <w:numId w:val="1004"/>
          <w:ilvl w:val="0"/>
        </w:numPr>
      </w:pPr>
      <w:r>
        <w:t xml:space="preserve">вступ. диалог</w:t>
      </w:r>
    </w:p>
    <w:p>
      <w:pPr>
        <w:pStyle w:val="Compact"/>
        <w:numPr>
          <w:numId w:val="1004"/>
          <w:ilvl w:val="0"/>
        </w:numPr>
      </w:pPr>
      <w:r>
        <w:t xml:space="preserve">префацио</w:t>
      </w:r>
    </w:p>
    <w:p>
      <w:pPr>
        <w:pStyle w:val="Compact"/>
        <w:numPr>
          <w:numId w:val="1004"/>
          <w:ilvl w:val="0"/>
        </w:numPr>
      </w:pPr>
      <w:r>
        <w:t xml:space="preserve">санктус, постсанктус</w:t>
      </w:r>
    </w:p>
    <w:p>
      <w:pPr>
        <w:pStyle w:val="Compact"/>
        <w:numPr>
          <w:numId w:val="1004"/>
          <w:ilvl w:val="0"/>
        </w:numPr>
      </w:pPr>
      <w:r>
        <w:t xml:space="preserve">институцио (не во всех)</w:t>
      </w:r>
    </w:p>
    <w:p>
      <w:pPr>
        <w:pStyle w:val="Compact"/>
        <w:numPr>
          <w:numId w:val="1004"/>
          <w:ilvl w:val="0"/>
        </w:numPr>
      </w:pPr>
      <w:r>
        <w:t xml:space="preserve">анамнесис</w:t>
      </w:r>
    </w:p>
    <w:p>
      <w:pPr>
        <w:pStyle w:val="Compact"/>
        <w:numPr>
          <w:numId w:val="1004"/>
          <w:ilvl w:val="0"/>
        </w:numPr>
      </w:pPr>
      <w:r>
        <w:t xml:space="preserve">интерцессио</w:t>
      </w:r>
    </w:p>
    <w:p>
      <w:pPr>
        <w:pStyle w:val="Compact"/>
        <w:numPr>
          <w:numId w:val="1004"/>
          <w:ilvl w:val="0"/>
        </w:numPr>
      </w:pPr>
      <w:r>
        <w:t xml:space="preserve">эпиклесис</w:t>
      </w:r>
    </w:p>
    <w:p>
      <w:pPr>
        <w:pStyle w:val="Compact"/>
        <w:numPr>
          <w:numId w:val="1004"/>
          <w:ilvl w:val="0"/>
        </w:numPr>
      </w:pPr>
      <w:r>
        <w:t xml:space="preserve">закл. славословие</w:t>
      </w:r>
    </w:p>
    <w:p>
      <w:pPr>
        <w:pStyle w:val="Compact"/>
        <w:numPr>
          <w:numId w:val="1004"/>
          <w:ilvl w:val="0"/>
        </w:numPr>
      </w:pPr>
      <w:r>
        <w:t xml:space="preserve">аминь</w:t>
      </w:r>
    </w:p>
    <w:p>
      <w:pPr>
        <w:pStyle w:val="FirstParagraph"/>
      </w:pPr>
      <w:r>
        <w:t xml:space="preserve">Каждый фрагмент, в свою очередь, трёхчастен:</w:t>
      </w:r>
    </w:p>
    <w:p>
      <w:pPr>
        <w:pStyle w:val="Compact"/>
        <w:numPr>
          <w:numId w:val="1005"/>
          <w:ilvl w:val="0"/>
        </w:numPr>
      </w:pPr>
      <w:r>
        <w:t xml:space="preserve">«Кушапа» (тайн. м-ва, про себя)</w:t>
      </w:r>
    </w:p>
    <w:p>
      <w:pPr>
        <w:pStyle w:val="Compact"/>
        <w:numPr>
          <w:numId w:val="1005"/>
          <w:ilvl w:val="0"/>
        </w:numPr>
      </w:pPr>
      <w:r>
        <w:t xml:space="preserve">«Геханта» (громко)</w:t>
      </w:r>
    </w:p>
    <w:p>
      <w:pPr>
        <w:pStyle w:val="Compact"/>
        <w:numPr>
          <w:numId w:val="1005"/>
          <w:ilvl w:val="0"/>
        </w:numPr>
      </w:pPr>
      <w:r>
        <w:t xml:space="preserve">«Канона» (возглас)</w:t>
      </w:r>
    </w:p>
    <w:p>
      <w:pPr>
        <w:pStyle w:val="3"/>
      </w:pPr>
      <w:bookmarkStart w:id="27" w:name="section-1"/>
      <w:bookmarkEnd w:id="27"/>
    </w:p>
    <w:p>
      <w:pPr>
        <w:pStyle w:val="Compact"/>
        <w:numPr>
          <w:numId w:val="1006"/>
          <w:ilvl w:val="0"/>
        </w:numPr>
      </w:pPr>
      <w:r>
        <w:t xml:space="preserve">принадлежность к определённой лит. семье</w:t>
      </w:r>
    </w:p>
    <w:p>
      <w:pPr>
        <w:pStyle w:val="Compact"/>
        <w:numPr>
          <w:numId w:val="1006"/>
          <w:ilvl w:val="0"/>
        </w:numPr>
      </w:pPr>
      <w:r>
        <w:t xml:space="preserve">структура и расположение осн. эл-тов</w:t>
      </w:r>
    </w:p>
    <w:p>
      <w:pPr>
        <w:pStyle w:val="Compact"/>
        <w:numPr>
          <w:numId w:val="1006"/>
          <w:ilvl w:val="0"/>
        </w:numPr>
      </w:pPr>
      <w:r>
        <w:t xml:space="preserve">богословские особенности:</w:t>
      </w:r>
    </w:p>
    <w:p>
      <w:pPr>
        <w:pStyle w:val="Compact"/>
        <w:numPr>
          <w:numId w:val="1007"/>
          <w:ilvl w:val="1"/>
        </w:numPr>
      </w:pPr>
      <w:r>
        <w:t xml:space="preserve">изложение ист. Спасения</w:t>
      </w:r>
    </w:p>
    <w:p>
      <w:pPr>
        <w:pStyle w:val="Compact"/>
        <w:numPr>
          <w:numId w:val="1007"/>
          <w:ilvl w:val="1"/>
        </w:numPr>
      </w:pPr>
      <w:r>
        <w:t xml:space="preserve">рассказ о Тайной вечери</w:t>
      </w:r>
    </w:p>
    <w:p>
      <w:pPr>
        <w:pStyle w:val="Compact"/>
        <w:numPr>
          <w:numId w:val="1007"/>
          <w:ilvl w:val="1"/>
        </w:numPr>
      </w:pPr>
      <w:r>
        <w:t xml:space="preserve">сходство/различие эпиклесисов по типологии, структуре, содержанию</w:t>
      </w:r>
    </w:p>
    <w:p>
      <w:pPr>
        <w:pStyle w:val="Compact"/>
        <w:numPr>
          <w:numId w:val="1007"/>
          <w:ilvl w:val="1"/>
        </w:numPr>
      </w:pPr>
      <w:r>
        <w:t xml:space="preserve">хар-ка (объём, содержание) ходатайств</w:t>
      </w:r>
    </w:p>
    <w:tbl>
      <w:tblPr>
        <w:tblStyle w:val="TableNormal"/>
        <w:tblW w:type="pct" w:w="5000.0"/>
        <w:tblLook w:firstRow="1"/>
      </w:tblPr>
      <w:tblGrid>
        <w:gridCol w:w="895"/>
        <w:gridCol w:w="707"/>
        <w:gridCol w:w="565"/>
        <w:gridCol w:w="5610"/>
        <w:gridCol w:w="1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анафора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лит. семья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структура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богосл. особенности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Василия Великого</w:t>
            </w:r>
          </w:p>
        </w:tc>
        <w:tc>
          <w:p>
            <w:pPr>
              <w:pStyle w:val="Compact"/>
              <w:jc w:val="left"/>
            </w:pPr>
            <w:r>
              <w:t xml:space="preserve">анатолийская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обращение к Отцу: Сущий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Пространное изложение истории Спасения заверш. на ТВ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Есть ход-во за мчч; хотя уже есть и за правительство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Уникальное упоминание о смешении Христом вина и воды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Ход-во за «отсутствующих по уваж. причинам»^[ferm]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Прошение о недостоинстве предстоятеля после эп-сиса -&gt; не было инструментального отн. к эп-сису; вся м-ва освящающая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  <w:tc>
          <w:p>
            <w:pPr>
              <w:pStyle w:val="Compact"/>
              <w:jc w:val="left"/>
            </w:pPr>
            <w:r>
              <w:t xml:space="preserve">В ход-ве есть тема Царства – знак _эсхатологич. измерения_ м-вы</w:t>
            </w:r>
          </w:p>
        </w:tc>
        <w:tc>
          <w:p>
            <w:pPr>
              <w:pStyle w:val="Compact"/>
              <w:jc w:val="left"/>
            </w:pPr>
            <w:r>
              <w:t xml:space="preserve"/>
            </w:r>
          </w:p>
        </w:tc>
      </w:tr>
    </w:tbl>
    <w:sectPr w:rsidR="0095100E" w:rsidRPr="0095100E" w:rsidSect="00F515C6">
      <w:footerReference w:type="default" r:id="rId8"/>
      <w:pgSz w:w="11907" w:h="16840" w:code="9"/>
      <w:pgMar w:top="1134" w:right="567" w:bottom="1134" w:left="1418" w:header="284" w:footer="28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050878"/>
      <w:docPartObj>
        <w:docPartGallery w:val="Page Numbers (Top of Page)"/>
        <w:docPartUnique/>
      </w:docPartObj>
    </w:sdtPr>
    <w:sdtEndPr/>
    <w:sdtContent>
      <w:p w14:paraId="7D61453E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5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af1"/>
      </w:pPr>
      <w:r>
        <w:rPr>
          <w:rStyle w:val="affd"/>
        </w:rPr>
        <w:footnoteRef/>
      </w:r>
      <w:r>
        <w:t xml:space="preserve"> </w:t>
      </w:r>
      <w:r>
        <w:t xml:space="preserve">Такие прошения бывают в не-анафоральных текстах: «прими эти дары на пренебесный Твой жертвенник…».</w:t>
      </w:r>
    </w:p>
  </w:footnote>
  <w:footnote w:id="26">
    <w:p>
      <w:pPr>
        <w:pStyle w:val="af1"/>
      </w:pPr>
      <w:r>
        <w:rPr>
          <w:rStyle w:val="affd"/>
        </w:rPr>
        <w:footnoteRef/>
      </w:r>
      <w:r>
        <w:t xml:space="preserve"> </w:t>
      </w:r>
      <w:r>
        <w:t xml:space="preserve">Аддай – ап. Фаддей.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DF764E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B02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2184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5801C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65C9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67A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4760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D5964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90">
    <w:nsid w:val="19126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88f8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5"/>
  </w:num>
  <w:num w:numId="2">
    <w:abstractNumId w:val="19"/>
  </w:num>
  <w:num w:numId="3">
    <w:abstractNumId w:val="23"/>
  </w:num>
  <w:num w:numId="4">
    <w:abstractNumId w:val="24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2"/>
  </w:num>
  <w:num w:numId="33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uiPriority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144AD1"/>
    <w:pPr>
      <w:spacing w:before="120" w:line="360" w:lineRule="auto"/>
      <w:jc w:val="both"/>
    </w:pPr>
    <w:rPr>
      <w:rFonts w:ascii="PT Serif" w:hAnsi="PT Serif"/>
      <w:sz w:val="28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12"/>
    <w:next w:val="a1"/>
    <w:link w:val="60"/>
    <w:uiPriority w:val="9"/>
    <w:qFormat/>
    <w:rsid w:val="00B65D58"/>
    <w:pPr>
      <w:numPr>
        <w:numId w:val="0"/>
      </w:numPr>
      <w:outlineLvl w:val="5"/>
    </w:pPr>
    <w:rPr>
      <w:bCs/>
      <w:szCs w:val="22"/>
    </w:rPr>
  </w:style>
  <w:style w:type="paragraph" w:styleId="7">
    <w:name w:val="heading 7"/>
    <w:basedOn w:val="20"/>
    <w:next w:val="a0"/>
    <w:link w:val="70"/>
    <w:qFormat/>
    <w:rsid w:val="00B65D58"/>
    <w:pPr>
      <w:numPr>
        <w:ilvl w:val="0"/>
        <w:numId w:val="0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B65D58"/>
    <w:rPr>
      <w:rFonts w:ascii="PT Serif" w:hAnsi="PT Serif"/>
      <w:bCs/>
      <w:caps/>
      <w:sz w:val="28"/>
      <w:szCs w:val="22"/>
      <w:lang w:eastAsia="x-none"/>
    </w:rPr>
  </w:style>
  <w:style w:type="character" w:customStyle="1" w:styleId="70">
    <w:name w:val="Заголовок 7 Знак"/>
    <w:link w:val="7"/>
    <w:rsid w:val="00B65D58"/>
    <w:rPr>
      <w:rFonts w:ascii="PT Serif" w:eastAsia="MS Mincho" w:hAnsi="PT Serif"/>
      <w:b/>
      <w:bCs/>
      <w:iCs/>
      <w:sz w:val="28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ac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d">
    <w:name w:val="Title"/>
    <w:basedOn w:val="a0"/>
    <w:next w:val="-"/>
    <w:link w:val="ae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e">
    <w:name w:val="Название Знак"/>
    <w:link w:val="ad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f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basedOn w:val="13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0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1">
    <w:name w:val="footnote text"/>
    <w:basedOn w:val="a0"/>
    <w:link w:val="af2"/>
    <w:uiPriority w:val="9"/>
    <w:unhideWhenUsed/>
    <w:qFormat/>
    <w:rsid w:val="00144AD1"/>
    <w:pPr>
      <w:spacing w:before="0" w:line="240" w:lineRule="auto"/>
      <w:jc w:val="left"/>
    </w:pPr>
    <w:rPr>
      <w:rFonts w:eastAsiaTheme="minorHAnsi" w:cstheme="minorBidi"/>
      <w:sz w:val="22"/>
      <w:szCs w:val="24"/>
      <w:lang w:val="en-US" w:eastAsia="en-US"/>
    </w:rPr>
  </w:style>
  <w:style w:type="character" w:customStyle="1" w:styleId="af2">
    <w:name w:val="Текст сноски Знак"/>
    <w:basedOn w:val="a2"/>
    <w:link w:val="af1"/>
    <w:uiPriority w:val="9"/>
    <w:rsid w:val="00144AD1"/>
    <w:rPr>
      <w:rFonts w:ascii="PT Serif" w:eastAsiaTheme="minorHAnsi" w:hAnsi="PT Serif" w:cstheme="minorBidi"/>
      <w:sz w:val="22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Theme="minorHAnsi" w:hAnsi="PT Serif" w:cstheme="minorBidi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3">
    <w:name w:val="Hyperlink"/>
    <w:basedOn w:val="a2"/>
    <w:uiPriority w:val="99"/>
    <w:unhideWhenUsed/>
    <w:rsid w:val="00FA4C79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4">
    <w:name w:val="Обычный с отступом"/>
    <w:basedOn w:val="a0"/>
    <w:link w:val="af5"/>
    <w:qFormat/>
    <w:locked/>
    <w:rsid w:val="00212F4C"/>
    <w:pPr>
      <w:spacing w:line="348" w:lineRule="auto"/>
      <w:ind w:firstLine="709"/>
    </w:pPr>
  </w:style>
  <w:style w:type="character" w:customStyle="1" w:styleId="af5">
    <w:name w:val="Обычный с отступом Знак"/>
    <w:basedOn w:val="a2"/>
    <w:link w:val="af4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6">
    <w:name w:val="Обычный без интервала"/>
    <w:basedOn w:val="a0"/>
    <w:link w:val="af7"/>
    <w:qFormat/>
    <w:rsid w:val="00C14EAD"/>
    <w:pPr>
      <w:spacing w:line="240" w:lineRule="auto"/>
    </w:pPr>
    <w:rPr>
      <w:lang w:eastAsia="ja-JP"/>
    </w:rPr>
  </w:style>
  <w:style w:type="character" w:customStyle="1" w:styleId="af7">
    <w:name w:val="Обычный без интервала Знак"/>
    <w:basedOn w:val="a2"/>
    <w:link w:val="af6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8">
    <w:name w:val="Название организации"/>
    <w:basedOn w:val="-"/>
    <w:link w:val="af9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a">
    <w:name w:val="Экземпляры"/>
    <w:basedOn w:val="a0"/>
    <w:link w:val="afb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9">
    <w:name w:val="Название организации Знак"/>
    <w:basedOn w:val="-0"/>
    <w:link w:val="af8"/>
    <w:rsid w:val="00F5249F"/>
    <w:rPr>
      <w:rFonts w:ascii="PT Serif" w:hAnsi="PT Serif"/>
      <w:sz w:val="24"/>
    </w:rPr>
  </w:style>
  <w:style w:type="paragraph" w:customStyle="1" w:styleId="afc">
    <w:name w:val="УДК"/>
    <w:basedOn w:val="a0"/>
    <w:link w:val="afd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b">
    <w:name w:val="Экземпляры Знак"/>
    <w:basedOn w:val="a2"/>
    <w:link w:val="afa"/>
    <w:rsid w:val="00F5249F"/>
    <w:rPr>
      <w:rFonts w:ascii="PT Serif" w:eastAsia="Calibri" w:hAnsi="PT Serif"/>
      <w:sz w:val="24"/>
      <w:szCs w:val="24"/>
    </w:rPr>
  </w:style>
  <w:style w:type="paragraph" w:customStyle="1" w:styleId="afe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d">
    <w:name w:val="УДК Знак"/>
    <w:basedOn w:val="a2"/>
    <w:link w:val="afc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f">
    <w:name w:val="Subtitle"/>
    <w:basedOn w:val="a0"/>
    <w:next w:val="a0"/>
    <w:link w:val="aff0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0">
    <w:name w:val="Подзаголовок Знак"/>
    <w:basedOn w:val="a2"/>
    <w:link w:val="aff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1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2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rFonts w:eastAsiaTheme="majorEastAsia" w:cstheme="majorBidi"/>
      <w:caps w:val="0"/>
      <w:color w:val="365F91" w:themeColor="accent1" w:themeShade="BF"/>
      <w:szCs w:val="32"/>
      <w:lang w:eastAsia="ru-RU"/>
    </w:rPr>
  </w:style>
  <w:style w:type="paragraph" w:styleId="aff3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4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5">
    <w:name w:val="Plain Text"/>
    <w:basedOn w:val="a0"/>
    <w:link w:val="aff6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6">
    <w:name w:val="Обычный текст Знак"/>
    <w:basedOn w:val="a2"/>
    <w:link w:val="aff5"/>
    <w:semiHidden/>
    <w:rsid w:val="00293F4E"/>
    <w:rPr>
      <w:rFonts w:ascii="PT Serif" w:hAnsi="PT Serif"/>
      <w:sz w:val="21"/>
      <w:szCs w:val="21"/>
    </w:rPr>
  </w:style>
  <w:style w:type="paragraph" w:styleId="aff7">
    <w:name w:val="Balloon Text"/>
    <w:basedOn w:val="a0"/>
    <w:link w:val="aff8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8">
    <w:name w:val="Текст выноски Знак"/>
    <w:basedOn w:val="a2"/>
    <w:link w:val="aff7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9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a">
    <w:name w:val="Block Text"/>
    <w:basedOn w:val="a0"/>
    <w:uiPriority w:val="9"/>
    <w:unhideWhenUsed/>
    <w:qFormat/>
    <w:rsid w:val="0095100E"/>
    <w:pPr>
      <w:spacing w:before="0" w:line="288" w:lineRule="auto"/>
      <w:ind w:firstLine="720"/>
    </w:pPr>
    <w:rPr>
      <w:rFonts w:eastAsiaTheme="minorEastAsia" w:cstheme="minorBidi"/>
      <w:sz w:val="24"/>
      <w:szCs w:val="24"/>
    </w:rPr>
  </w:style>
  <w:style w:type="paragraph" w:styleId="affb">
    <w:name w:val="Message Header"/>
    <w:basedOn w:val="a0"/>
    <w:link w:val="affc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c">
    <w:name w:val="Заголовок сообщения Знак"/>
    <w:basedOn w:val="a2"/>
    <w:link w:val="affb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E664CC"/>
    <w:pPr>
      <w:ind w:firstLine="706"/>
    </w:pPr>
    <w:rPr>
      <w:szCs w:val="24"/>
      <w:vertAlign w:val="superscript"/>
    </w:r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character" w:styleId="affd">
    <w:name w:val="footnote reference"/>
    <w:basedOn w:val="a2"/>
    <w:unhideWhenUsed/>
    <w:rsid w:val="00E664CC"/>
    <w:rPr>
      <w:vertAlign w:val="superscript"/>
    </w:rPr>
  </w:style>
  <w:style w:type="paragraph" w:styleId="affe">
    <w:name w:val="Intense Quote"/>
    <w:basedOn w:val="a0"/>
    <w:next w:val="a0"/>
    <w:link w:val="afff"/>
    <w:uiPriority w:val="30"/>
    <w:qFormat/>
    <w:rsid w:val="008D0A54"/>
    <w:pPr>
      <w:spacing w:before="0" w:line="240" w:lineRule="auto"/>
      <w:ind w:firstLine="720"/>
    </w:pPr>
    <w:rPr>
      <w:sz w:val="24"/>
      <w:szCs w:val="24"/>
    </w:rPr>
  </w:style>
  <w:style w:type="character" w:customStyle="1" w:styleId="afff">
    <w:name w:val="Выделенная цитата Знак"/>
    <w:basedOn w:val="a2"/>
    <w:link w:val="affe"/>
    <w:uiPriority w:val="30"/>
    <w:rsid w:val="008D0A54"/>
    <w:rPr>
      <w:rFonts w:ascii="PT Serif" w:hAnsi="PT Serif"/>
      <w:sz w:val="24"/>
      <w:szCs w:val="24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\DOCUME~1\SVV\LOCALS~1\Temp\Rar$DI72.860\Шаблон ГОСТ.dot</Template>
  <TotalTime>22</TotalTime>
  <Pages>3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1430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2018-09-20T17:29:20Z</dcterms:created>
  <dcterms:modified xsi:type="dcterms:W3CDTF">2018-09-20T17:29:20Z</dcterms:modified>
</cp:coreProperties>
</file>