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237E"/>
          <w:sz w:val="44"/>
        </w:rPr>
        <w:t>二、核心功能与特性</w:t>
      </w:r>
    </w:p>
    <w:p>
      <w:pPr>
        <w:spacing w:before="120" w:after="120"/>
        <w:jc w:val="center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237E"/>
        </w:rPr>
        <w:t>2.1 智能数据采集与管理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多渠道数据源接入</w:t>
      </w:r>
      <w:r>
        <w:rPr>
          <w:b w:val="0"/>
          <w:sz w:val="20"/>
        </w:rPr>
        <w:t>：支持网站抓取、API 对接等多种数据源，可按日、周、月自定义采集频率。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灵活的项目管理体系</w:t>
      </w:r>
      <w:r>
        <w:rPr>
          <w:b w:val="0"/>
          <w:sz w:val="20"/>
        </w:rPr>
        <w:t>：每个采集项目可绑定多个数据源，支持自定义采集指令与筛选规则。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增量同步机制</w:t>
      </w:r>
      <w:r>
        <w:rPr>
          <w:b w:val="0"/>
          <w:sz w:val="20"/>
        </w:rPr>
        <w:t>：智能爬取，仅拉取上次采集以来的新内容，避免重复处理与带宽浪费。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批量历史导入</w:t>
      </w:r>
      <w:r>
        <w:rPr>
          <w:b w:val="0"/>
          <w:sz w:val="20"/>
        </w:rPr>
        <w:t>：支持一次性导入大批量历史数据或外部报告，快速搭建数据基础。</w:t>
      </w:r>
    </w:p>
    <w:p>
      <w:pPr>
        <w:spacing w:before="160" w:after="160"/>
        <w:jc w:val="center"/>
      </w:pPr>
      <w:r>
        <w:rPr>
          <w:i/>
          <w:color w:val="999999"/>
          <w:sz w:val="18"/>
        </w:rPr>
        <w:t>【配图：数据采集流程图】</w:t>
      </w:r>
    </w:p>
    <w:p>
      <w:pPr>
        <w:pStyle w:val="Heading3"/>
      </w:pPr>
      <w:r>
        <w:rPr>
          <w:color w:val="1A237E"/>
        </w:rPr>
        <w:t>2.2 AI 赋能的智能分析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AI 分析师助手</w:t>
      </w:r>
      <w:r>
        <w:rPr>
          <w:b w:val="0"/>
          <w:sz w:val="20"/>
        </w:rPr>
        <w:t>：AI Agent 自动阅读情报原文，生成结构化摘要与分析结论。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人机协同批注</w:t>
      </w:r>
      <w:r>
        <w:rPr>
          <w:b w:val="0"/>
          <w:sz w:val="20"/>
        </w:rPr>
        <w:t>：AI Agent 可在每条情报下留下分析意见与风险提示，形成持续积累的知识资产。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MCP Server 开放接口</w:t>
      </w:r>
      <w:r>
        <w:rPr>
          <w:b w:val="0"/>
          <w:sz w:val="20"/>
        </w:rPr>
        <w:t>：AI Agent（Claude / Hermes / OpenClaw 等）可通过标准化 MCP 协议直接访问平台数据，实现深度集成。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智能摘要自动生成</w:t>
      </w:r>
      <w:r>
        <w:rPr>
          <w:b w:val="0"/>
          <w:sz w:val="20"/>
        </w:rPr>
        <w:t>：AI Agent 对情报进行二次加工，提炼关键信息与可执行建议。</w:t>
      </w:r>
    </w:p>
    <w:p>
      <w:pPr>
        <w:pStyle w:val="Heading3"/>
      </w:pPr>
      <w:r>
        <w:rPr>
          <w:color w:val="1A237E"/>
        </w:rPr>
        <w:t>2.3 全流程商机管理（销售域专属）</w:t>
      </w:r>
    </w:p>
    <w:p>
      <w:pPr>
        <w:spacing w:before="40" w:after="80" w:line="324" w:lineRule="auto"/>
      </w:pPr>
      <w:r>
        <w:rPr>
          <w:b w:val="0"/>
          <w:sz w:val="21"/>
        </w:rPr>
        <w:t>从线索发现到成交的全生命周期追踪，涵盖：</w:t>
      </w:r>
      <w:r>
        <w:rPr>
          <w:b/>
          <w:sz w:val="21"/>
        </w:rPr>
        <w:t>待核实 → 合格商机 → 方案报价 → 商务谈判 → 成交/丢标</w:t>
      </w:r>
      <w:r>
        <w:rPr>
          <w:b w:val="0"/>
          <w:sz w:val="21"/>
        </w:rPr>
        <w:t>。每条商机可追踪公司名称、联系人、预估交易额及所属行业。</w:t>
      </w:r>
    </w:p>
    <w:p>
      <w:pPr>
        <w:pStyle w:val="Heading3"/>
      </w:pPr>
      <w:r>
        <w:rPr>
          <w:color w:val="1A237E"/>
        </w:rPr>
        <w:t>2.4 数据看板与可视化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仪表盘统计概览</w:t>
      </w:r>
      <w:r>
        <w:rPr>
          <w:b w:val="0"/>
          <w:sz w:val="20"/>
        </w:rPr>
        <w:t>：今日新增情报数、各领域占比、活跃项目数量等关键指标的即时呈现。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多维筛选与排序</w:t>
      </w:r>
      <w:r>
        <w:rPr>
          <w:b w:val="0"/>
          <w:sz w:val="20"/>
        </w:rPr>
        <w:t>：按类别、状态、公司名等多维度交叉筛选，快速定位所需信息。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毫秒级全文搜索</w:t>
      </w:r>
      <w:r>
        <w:rPr>
          <w:b w:val="0"/>
          <w:sz w:val="20"/>
        </w:rPr>
        <w:t>：基于 Meilisearch 引擎，支持中英文混合检索，搜索响应达毫秒级。</w:t>
      </w:r>
    </w:p>
    <w:p>
      <w:pPr>
        <w:pStyle w:val="Heading3"/>
      </w:pPr>
      <w:r>
        <w:rPr>
          <w:color w:val="1A237E"/>
        </w:rPr>
        <w:t>2.5 系统管理与安全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RBAC 四级权限管控</w:t>
      </w:r>
      <w:r>
        <w:rPr>
          <w:b w:val="0"/>
          <w:sz w:val="20"/>
        </w:rPr>
        <w:t>：Admin（管理员）/ Manager（经理）/ Analyst（分析师）/ Viewer（浏览者），精细到菜单级别的操作授权。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操作审计日志</w:t>
      </w:r>
      <w:r>
        <w:rPr>
          <w:b w:val="0"/>
          <w:sz w:val="20"/>
        </w:rPr>
        <w:t>：所有变更操作记录操作人身份、时间戳与变更内容，满足合规与安全追溯需求。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AI 通知中心</w:t>
      </w:r>
      <w:r>
        <w:rPr>
          <w:b w:val="0"/>
          <w:sz w:val="20"/>
        </w:rPr>
        <w:t>：AI Agent 生成的分析报告自动推送至通知中心，确保关键信息不遗漏。</w:t>
      </w:r>
    </w:p>
    <w:p>
      <w:pPr>
        <w:spacing w:before="20" w:after="40" w:line="300" w:lineRule="auto"/>
        <w:ind w:left="680"/>
      </w:pPr>
      <w:r>
        <w:rPr>
          <w:b/>
          <w:sz w:val="20"/>
        </w:rPr>
        <w:t xml:space="preserve">•  </w:t>
      </w:r>
      <w:r>
        <w:rPr>
          <w:b/>
          <w:sz w:val="20"/>
        </w:rPr>
        <w:t>在线配置管理</w:t>
      </w:r>
      <w:r>
        <w:rPr>
          <w:b w:val="0"/>
          <w:sz w:val="20"/>
        </w:rPr>
        <w:t>：API Key、Agent 密钥、JWT 刷新间隔等均可在线调整，无需重启服务。</w:t>
      </w: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Intelligence Web · 产品介绍文档 · 机密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