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Ecological performance of detecting data fabrication</w:t>
      </w:r>
    </w:p>
    <w:p>
      <w:pPr>
        <w:pStyle w:val="Author"/>
        <w:rPr/>
      </w:pPr>
      <w:r>
        <w:rPr/>
        <w:t>Chris HJ Hartgerink, Jan G Voelkel, Jelte M Wicherts, Marcel ALM van Assen</w:t>
      </w:r>
    </w:p>
    <w:p>
      <w:pPr>
        <w:pStyle w:val="Date"/>
        <w:rPr/>
      </w:pPr>
      <w:r>
        <w:rPr/>
        <w:t>17 May, 2017</w:t>
      </w:r>
    </w:p>
    <w:p>
      <w:pPr>
        <w:pStyle w:val="FirstParagraph"/>
        <w:rPr/>
      </w:pPr>
      <w:r>
        <w:rPr/>
        <w:t>Any field of empirical inquiry is faced with cases of scientific misconduct at some point, either in the form of fabrication, falsification or plagiarism (FFP). Psychology was faced with Stapel; medical sciences were faced with Poldermans and Macchiarini; life sciences were faced with Voignet. These are just a few examples of misconduct cases in the last decade. Overall, an estimated 2% of all scholars have admitted to falsifying or fabricating research results at least once (Fanelli, 2009) and this is likely to be an underestimate due to socially desirable responses. The detection rate is likely to be even lower; for example, only around a dozen cases are discovered in the United States and the Netherlands, despite covering several hundreds of thousands of researchers. At best, this amounts to a detection rate far below 1% of those 2% who admit to fabricating data --- the tip of a seemingly much larger iceberg.</w:t>
      </w:r>
    </w:p>
    <w:p>
      <w:pPr>
        <w:pStyle w:val="TextBody"/>
        <w:rPr/>
      </w:pPr>
      <w:r>
        <w:rPr/>
        <w:t>In order to stifle attempts at data fabrication, improved detection of fabricated data is considered to deter such harmful attempts. Although deterrence theory dates back to the middle of the 17th century (Hobbes, 1651), its implementation has not occurred across the different forms of scientific misconduct equilaterally. Basically, deterrence theory stipulates that with increased risk of detection, the utility of scientific misconduct (for this context) will decrease and therefore fewer people will engage in such behaviors. This principle of deterrence has been implemented with plagiarism scanners, a development that already started a long time ago (e.g., A. Parker &amp; Hamblen, 1989). However, increased deterrence of fabrication and falsification by improved detection mechanisms has not been as widely implemented.</w:t>
      </w:r>
    </w:p>
    <w:p>
      <w:pPr>
        <w:pStyle w:val="TextBody"/>
        <w:rPr/>
      </w:pPr>
      <w:r>
        <w:rPr/>
        <w:t>In the last decade, detecting image manipulation has become one of the few forms of detecting scientific misconduct (alongside plagiarism). The Journal of Cell Biology scans each submitted image for potential manipulation (The Journal of Cell Biology, 2015), which greatly increases the risk of detecting (blatant) image manipulation. More recently, algorithms have been developed to automate the scanning of images for (subtle) manipulations (Koppers, Wormer, &amp; Ickstadt, 2016). These developments in detecting image manipulation have increased detection risk during the pre-publication and post-publication phase by improving detection mechanisms and increasing the understanding of how images might be manipulated. Moreover, their application also helps researchers systematically evaluate research articles to estimate the extent of the problem of image manipulation (4% of all papers are estimated to contain manipulated images, Bik, Casadevall, &amp; Fang, 2016).</w:t>
      </w:r>
    </w:p>
    <w:p>
      <w:pPr>
        <w:pStyle w:val="TextBody"/>
        <w:rPr/>
      </w:pPr>
      <w:r>
        <w:rPr/>
        <w:t>Statistical methods can provide one way to improve detection of data fabrication in empirical research. Humans are notoriously bad at understanding and estimating probabilities (Amos Tversky &amp; Kahneman, 1971; e.g., A. Tversky &amp; Kahneman, 1974), which could manifest itself in the fundamentally probabilistic data they try to fabricate. That researchers do not understand probabilistic processes also presents itself in false interpretation of genuine research data (S. N. Goodman, 1999; Hoekstra, Finch, Kiers, &amp; Johnson, 2006; Sijtsma, 2015). When data are fabricated, probabilistic principles are easily violated if forgotten at the univariate level, bivariate level, trivatiate level, or beyond (Haldane, 1948). Based on this idea, statistical methods that investigate whether the reported data are feasible under the theoretically probabilistic processes can be used to detect potential data fabrication.</w:t>
      </w:r>
    </w:p>
    <w:p>
      <w:pPr>
        <w:pStyle w:val="TextBody"/>
        <w:rPr/>
      </w:pPr>
      <w:r>
        <w:rPr/>
        <w:t>The application of such statistical methods to detect data fabrication has occurred in several cases in recent years and has potential for future application beyond a case-basis. For example, problems in papers by Fuji were highlighted with statistical methods (Carlisle, 2012; Carlisle, Dexter, Pandit, Shafer, &amp; Yentis, 2015), resulting in 183 retractions (Oransky, 2015). In this case, baseline measures across randomized groups were examined for too little variation. Random assignment should introduce a certain degree of random error that might be missed by a human fabricator, misestimating the probabilistic process that generates such error. Another two cases are those of Sanna and Smeesters, where fabricated data were also detected with statistics (Simonsohn, 2013). These cases inspected the variance of variances (i.e., the second, or meta level variance). Once again, too little variation was what revealed problems in these data (Anonymous, 2012; other examples include Broockman, Kalla, &amp; Aronow, 2015). These methods, although developed in a case-setting, need not be limited to cases. The application of such methods can be (semi-)automated if data are available in a machine-readable format that one of the statistical methods can be applied to. An example of such a potential case for mass application of using statistics to detect (potential) data fabrication is in the ClinicalTrials.gov database, where baseline measures across randomized groups are readily available for download and subsequent analysis (C. Hartgerink &amp; George, 2015).</w:t>
      </w:r>
    </w:p>
    <w:p>
      <w:pPr>
        <w:pStyle w:val="TextBody"/>
        <w:rPr/>
      </w:pPr>
      <w:r>
        <w:rPr/>
        <w:t>Nonetheless, considering the potential harm of applying statistical methods to flag potentially problematic results, it needs to be sorted out whether such methods have diagnosticity that actually makes it responsible to apply them. We hardly know how researchers might go about fabricating data. Cases such as Fuji, Smeesters, and Sanna provide some insights, but are highly pre-selected (i.e., those who got caught/confessed) and as such, systematically biased. Relatively extensive descriptions in rare and partial autobiogrophical accounts provide little insight into the actual data fabrication process, except for the setting where it might take place (e.g., late at night when no one is around; Stapel, 2014). However, trustworthiness of these accounts can be called into question. Additionally, the performance of methods to detect data fabrication is highly dependent on the unknown prevalence of data fabrication and the power to actually to detect data fabrication. Given that we do not know how researchers might fabricate data, the diagnosticity of these methods cannot realistically be simulated.</w:t>
      </w:r>
    </w:p>
    <w:p>
      <w:pPr>
        <w:pStyle w:val="TextBody"/>
        <w:rPr/>
      </w:pPr>
      <w:r>
        <w:rPr/>
        <w:t xml:space="preserve">The effectiveness of detection mechanisms and their consequences, hence their expected deterrence, is exacerbated in the digital age by the increased usage of public online discussion platforms such as </w:t>
      </w:r>
      <w:hyperlink r:id="rId2">
        <w:r>
          <w:rPr>
            <w:rStyle w:val="InternetLink"/>
          </w:rPr>
          <w:t>PubPeer (https://pubpeer.com)</w:t>
        </w:r>
      </w:hyperlink>
      <w:r>
        <w:rPr/>
        <w:t xml:space="preserve">. PubPeer serves as an "online journal club" where anyone can discuss articles. Authors are notified when someone leaves a response, providing them with the possibility to respond. Such a platform allows for public discussion of the paper, including discussion of reanalyses, methodology, availability of materials, etc. When detection mechanisms are freely available to use, they can lead to (a surge of) comments when applied by users. Recently, in 2016, one user (the main author of this paper) used </w:t>
      </w:r>
      <w:r>
        <w:rPr>
          <w:rStyle w:val="VerbatimChar"/>
        </w:rPr>
        <w:t>statcheck</w:t>
      </w:r>
      <w:r>
        <w:rPr/>
        <w:t xml:space="preserve"> software to report potential statistical reporting inconsistencies for 50,000 psychology articles, which led to a large discussion about (automated) online comments (Baker, 2016). The impact of such new possibilities is not to be underestimated, although its potential to constructively contribute to the scientific discussion should also not be (“Post-publication criticism is crucial, but should be constructive,” 2016). Nonetheless, the </w:t>
      </w:r>
      <w:r>
        <w:rPr>
          <w:rStyle w:val="VerbatimChar"/>
        </w:rPr>
        <w:t>statcheck</w:t>
      </w:r>
      <w:r>
        <w:rPr/>
        <w:t xml:space="preserve"> software was well validated prior to this application (Nuijten, Hartgerink, Assen, Epskamp, &amp; Wicherts, 2015) and the same principle applies to the application of statistical methods to detect (potential) data fabrication.</w:t>
      </w:r>
    </w:p>
    <w:p>
      <w:pPr>
        <w:pStyle w:val="Heading1"/>
        <w:rPr/>
      </w:pPr>
      <w:bookmarkStart w:id="0" w:name="theoretical-framework"/>
      <w:bookmarkEnd w:id="0"/>
      <w:r>
        <w:rPr/>
        <w:t>Theoretical framework</w:t>
      </w:r>
    </w:p>
    <w:p>
      <w:pPr>
        <w:pStyle w:val="FirstParagraph"/>
        <w:rPr/>
      </w:pPr>
      <w:r>
        <w:rPr/>
        <w:t xml:space="preserve">Throughout this paper, we inspect statistical methods to detect data fabrication that can be applied to (1) summary results or (2) raw data. Even though structure and contents of data can look different depending on the structure of a study and the measures, there are certain common characteristics of empirical results and the underlying raw data that can be inspected. For example, summary results frequently include means, standard deviations, test-statistics, and </w:t>
      </w:r>
      <w:r>
        <w:rPr/>
      </w:r>
      <m:oMath xmlns:m="http://schemas.openxmlformats.org/officeDocument/2006/math">
        <m:r>
          <w:rPr>
            <w:rFonts w:ascii="Cambria Math" w:hAnsi="Cambria Math"/>
          </w:rPr>
          <m:t xml:space="preserve">p</m:t>
        </m:r>
      </m:oMath>
      <w:r>
        <w:rPr/>
        <w:t>-values. Raw data frequently contain at least some variables measured at a interval- or ratio scale (Stevens, 1946). Such common characteristics allow for the development of generic statistical methods that can be applied across a varied set of results. We review the theoretical framework of the specific methods we apply throughout this paper, but these are not exhaustive of all methods available to test for potential problems in empirical data (Anaya, 2016; Brown &amp; Heathers, 2016; see also Buyse et al., 1999; James Heathers, 2017).</w:t>
      </w:r>
    </w:p>
    <w:p>
      <w:pPr>
        <w:pStyle w:val="Heading2"/>
        <w:rPr/>
      </w:pPr>
      <w:bookmarkStart w:id="1" w:name="detecting-data-fabrication-in-summary-results"/>
      <w:bookmarkEnd w:id="1"/>
      <w:r>
        <w:rPr/>
        <w:t>Detecting data fabrication in summary results</w:t>
      </w:r>
    </w:p>
    <w:p>
      <w:pPr>
        <w:pStyle w:val="Heading3"/>
        <w:rPr/>
      </w:pPr>
      <w:bookmarkStart w:id="2" w:name="p-value-analysis"/>
      <w:bookmarkEnd w:id="2"/>
      <w:r>
        <w:rPr/>
        <w:t>P-value analysis</w:t>
      </w:r>
    </w:p>
    <w:p>
      <w:pPr>
        <w:pStyle w:val="FirstParagraph"/>
        <w:rPr/>
      </w:pPr>
      <w:r>
        <w:rPr/>
        <w:t xml:space="preserve">The distribution of one </w:t>
      </w:r>
      <w:r>
        <w:rPr/>
      </w:r>
      <m:oMath xmlns:m="http://schemas.openxmlformats.org/officeDocument/2006/math">
        <m:r>
          <w:rPr>
            <w:rFonts w:ascii="Cambria Math" w:hAnsi="Cambria Math"/>
          </w:rPr>
          <m:t xml:space="preserve">p</m:t>
        </m:r>
      </m:oMath>
      <w:r>
        <w:rPr/>
        <w:t xml:space="preserve">-value depends on various parameters, but there are specific theoretical boundary conditions to this distribution (Fisher, 1925). Based on the population effect size, the precision of the estimate, and the observed effect size, the </w:t>
      </w:r>
      <w:r>
        <w:rPr/>
      </w:r>
      <m:oMath xmlns:m="http://schemas.openxmlformats.org/officeDocument/2006/math">
        <m:r>
          <w:rPr>
            <w:rFonts w:ascii="Cambria Math" w:hAnsi="Cambria Math"/>
          </w:rPr>
          <m:t xml:space="preserve">p</m:t>
        </m:r>
      </m:oMath>
      <w:r>
        <w:rPr/>
        <w:t xml:space="preserve">-value distribution can be uniform (when then null hypothesis is true) or right-skewed (when the alternative hypothesis is true). By extension, any other distribution, after taking into account sampling error, is theoretically suspect. For example, a distribution might show a bump when authors </w:t>
      </w:r>
      <w:r>
        <w:rPr/>
      </w:r>
      <m:oMath xmlns:m="http://schemas.openxmlformats.org/officeDocument/2006/math">
        <m:r>
          <w:rPr>
            <w:rFonts w:ascii="Cambria Math" w:hAnsi="Cambria Math"/>
          </w:rPr>
          <m:t xml:space="preserve">p</m:t>
        </m:r>
      </m:oMath>
      <w:r>
        <w:rPr/>
        <w:t>-hack (e.g., Figure 1 in C. H. Hartgerink, Aert, Nuijten, Wicherts, &amp; Assen, 2016), but fabricators might create other non-uniform or non-right-skewed distributions, failing to take into account the theoretical boundary conditions.</w:t>
      </w:r>
    </w:p>
    <w:p>
      <w:pPr>
        <w:pStyle w:val="TextBody"/>
        <w:rPr/>
      </w:pPr>
      <w:r>
        <w:rPr/>
        <w:t xml:space="preserve">In order to test whether observed </w:t>
      </w:r>
      <w:r>
        <w:rPr/>
      </w:r>
      <m:oMath xmlns:m="http://schemas.openxmlformats.org/officeDocument/2006/math">
        <m:r>
          <w:rPr>
            <w:rFonts w:ascii="Cambria Math" w:hAnsi="Cambria Math"/>
          </w:rPr>
          <m:t xml:space="preserve">p</m:t>
        </m:r>
      </m:oMath>
      <w:r>
        <w:rPr/>
        <w:t>-values transgress the boundary condition, we proposed an adaptation of Fisher's method (S. P. O’Brien et al., 2016). This adaptation is a simple reversal of the Fisher method (Fisher, 1925), which was originally introduced as a simple meta-analytic test to indicate presence of an effect; this test is computed as</w:t>
      </w:r>
    </w:p>
    <w:p>
      <w:pPr>
        <w:pStyle w:val="TextBody"/>
        <w:rPr/>
      </w:pPr>
      <w:r>
        <w:rPr/>
      </w:r>
      <m:oMath xmlns:m="http://schemas.openxmlformats.org/officeDocument/2006/math">
        <m:sSubSup>
          <m:e>
            <m:r>
              <w:rPr>
                <w:rFonts w:ascii="Cambria Math" w:hAnsi="Cambria Math"/>
              </w:rPr>
              <m:t xml:space="preserve">χ</m:t>
            </m:r>
          </m:e>
          <m:sub>
            <m:r>
              <w:rPr>
                <w:rFonts w:ascii="Cambria Math" w:hAnsi="Cambria Math"/>
              </w:rPr>
              <m:t xml:space="preserve">2</m:t>
            </m:r>
            <m:r>
              <w:rPr>
                <w:rFonts w:ascii="Cambria Math" w:hAnsi="Cambria Math"/>
              </w:rPr>
              <m:t xml:space="preserve">k</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ln</m:t>
            </m:r>
          </m:e>
        </m:nary>
        <m:d>
          <m:dPr>
            <m:begChr m:val="("/>
            <m:endChr m:val=")"/>
          </m:dPr>
          <m:e>
            <m:sSub>
              <m:e>
                <m:r>
                  <w:rPr>
                    <w:rFonts w:ascii="Cambria Math" w:hAnsi="Cambria Math"/>
                  </w:rPr>
                  <m:t xml:space="preserve">p</m:t>
                </m:r>
              </m:e>
              <m:sub>
                <m:r>
                  <w:rPr>
                    <w:rFonts w:ascii="Cambria Math" w:hAnsi="Cambria Math"/>
                  </w:rPr>
                  <m:t xml:space="preserve">i</m:t>
                </m:r>
              </m:sub>
            </m:sSub>
          </m:e>
        </m:d>
      </m:oMath>
    </w:p>
    <w:p>
      <w:pPr>
        <w:pStyle w:val="FirstParagraph"/>
        <w:rPr/>
      </w:pPr>
      <w:r>
        <w:rPr/>
        <w:t xml:space="preserve">where it tests for right-skew (i.e., more smaller </w:t>
      </w:r>
      <w:r>
        <w:rPr/>
      </w:r>
      <m:oMath xmlns:m="http://schemas.openxmlformats.org/officeDocument/2006/math">
        <m:r>
          <w:rPr>
            <w:rFonts w:ascii="Cambria Math" w:hAnsi="Cambria Math"/>
          </w:rPr>
          <m:t xml:space="preserve">p</m:t>
        </m:r>
      </m:oMath>
      <w:r>
        <w:rPr/>
        <w:t xml:space="preserve">-values than larger </w:t>
      </w:r>
      <w:r>
        <w:rPr/>
      </w:r>
      <m:oMath xmlns:m="http://schemas.openxmlformats.org/officeDocument/2006/math">
        <m:r>
          <w:rPr>
            <w:rFonts w:ascii="Cambria Math" w:hAnsi="Cambria Math"/>
          </w:rPr>
          <m:t xml:space="preserve">p</m:t>
        </m:r>
      </m:oMath>
      <w:r>
        <w:rPr/>
        <w:t xml:space="preserve">-values) across the </w:t>
      </w:r>
      <w:r>
        <w:rPr/>
      </w:r>
      <m:oMath xmlns:m="http://schemas.openxmlformats.org/officeDocument/2006/math">
        <m:r>
          <w:rPr>
            <w:rFonts w:ascii="Cambria Math" w:hAnsi="Cambria Math"/>
          </w:rPr>
          <m:t xml:space="preserve">k</m:t>
        </m:r>
      </m:oMath>
      <w:r>
        <w:rPr/>
        <w:t xml:space="preserve"> number of </w:t>
      </w:r>
      <w:r>
        <w:rPr/>
      </w:r>
      <m:oMath xmlns:m="http://schemas.openxmlformats.org/officeDocument/2006/math">
        <m:r>
          <w:rPr>
            <w:rFonts w:ascii="Cambria Math" w:hAnsi="Cambria Math"/>
          </w:rPr>
          <m:t xml:space="preserve">p</m:t>
        </m:r>
      </m:oMath>
      <w:r>
        <w:rPr/>
        <w:t>-values. Reversing the Fisher method results in</w:t>
      </w:r>
    </w:p>
    <w:p>
      <w:pPr>
        <w:pStyle w:val="TextBody"/>
        <w:rPr/>
      </w:pPr>
      <w:r>
        <w:rPr/>
      </w:r>
      <m:oMath xmlns:m="http://schemas.openxmlformats.org/officeDocument/2006/math">
        <m:sSubSup>
          <m:e>
            <m:r>
              <w:rPr>
                <w:rFonts w:ascii="Cambria Math" w:hAnsi="Cambria Math"/>
              </w:rPr>
              <m:t xml:space="preserve">χ</m:t>
            </m:r>
          </m:e>
          <m:sub>
            <m:r>
              <w:rPr>
                <w:rFonts w:ascii="Cambria Math" w:hAnsi="Cambria Math"/>
              </w:rPr>
              <m:t xml:space="preserve">2</m:t>
            </m:r>
            <m:r>
              <w:rPr>
                <w:rFonts w:ascii="Cambria Math" w:hAnsi="Cambria Math"/>
              </w:rPr>
              <m:t xml:space="preserve">k</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ln</m:t>
            </m:r>
          </m:e>
        </m:nary>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num>
              <m:den>
                <m:r>
                  <w:rPr>
                    <w:rFonts w:ascii="Cambria Math" w:hAnsi="Cambria Math"/>
                  </w:rPr>
                  <m:t xml:space="preserve">1</m:t>
                </m:r>
                <m:r>
                  <w:rPr>
                    <w:rFonts w:ascii="Cambria Math" w:hAnsi="Cambria Math"/>
                  </w:rPr>
                  <m:t xml:space="preserve">−</m:t>
                </m:r>
                <m:r>
                  <w:rPr>
                    <w:rFonts w:ascii="Cambria Math" w:hAnsi="Cambria Math"/>
                  </w:rPr>
                  <m:t xml:space="preserve">t</m:t>
                </m:r>
              </m:den>
            </m:f>
          </m:e>
        </m:d>
      </m:oMath>
    </w:p>
    <w:p>
      <w:pPr>
        <w:pStyle w:val="FirstParagraph"/>
        <w:rPr/>
      </w:pPr>
      <w:r>
        <w:rPr/>
        <w:t xml:space="preserve">where it now tests for left-skew (i.e., more larger </w:t>
      </w:r>
      <w:r>
        <w:rPr/>
      </w:r>
      <m:oMath xmlns:m="http://schemas.openxmlformats.org/officeDocument/2006/math">
        <m:r>
          <w:rPr>
            <w:rFonts w:ascii="Cambria Math" w:hAnsi="Cambria Math"/>
          </w:rPr>
          <m:t xml:space="preserve">p</m:t>
        </m:r>
      </m:oMath>
      <w:r>
        <w:rPr/>
        <w:t xml:space="preserve">-values than smaller </w:t>
      </w:r>
      <w:r>
        <w:rPr/>
      </w:r>
      <m:oMath xmlns:m="http://schemas.openxmlformats.org/officeDocument/2006/math">
        <m:r>
          <w:rPr>
            <w:rFonts w:ascii="Cambria Math" w:hAnsi="Cambria Math"/>
          </w:rPr>
          <m:t xml:space="preserve">p</m:t>
        </m:r>
      </m:oMath>
      <w:r>
        <w:rPr/>
        <w:t xml:space="preserve">-values) across the </w:t>
      </w:r>
      <w:r>
        <w:rPr/>
      </w:r>
      <m:oMath xmlns:m="http://schemas.openxmlformats.org/officeDocument/2006/math">
        <m:r>
          <w:rPr>
            <w:rFonts w:ascii="Cambria Math" w:hAnsi="Cambria Math"/>
          </w:rPr>
          <m:t xml:space="preserve">k</m:t>
        </m:r>
      </m:oMath>
      <w:r>
        <w:rPr/>
        <w:t xml:space="preserve"> number of </w:t>
      </w:r>
      <w:r>
        <w:rPr/>
      </w:r>
      <m:oMath xmlns:m="http://schemas.openxmlformats.org/officeDocument/2006/math">
        <m:r>
          <w:rPr>
            <w:rFonts w:ascii="Cambria Math" w:hAnsi="Cambria Math"/>
          </w:rPr>
          <m:t xml:space="preserve">p</m:t>
        </m:r>
      </m:oMath>
      <w:r>
        <w:rPr/>
        <w:t xml:space="preserve">-values that falls above the threshold </w:t>
      </w:r>
      <w:r>
        <w:rPr/>
      </w:r>
      <m:oMath xmlns:m="http://schemas.openxmlformats.org/officeDocument/2006/math">
        <m:r>
          <w:rPr>
            <w:rFonts w:ascii="Cambria Math" w:hAnsi="Cambria Math"/>
          </w:rPr>
          <m:t xml:space="preserve">t</m:t>
        </m:r>
      </m:oMath>
      <w:r>
        <w:rPr/>
        <w:t xml:space="preserve">. This threshold is added and can be set to anything. Given the frequent misinterpretation of </w:t>
      </w:r>
      <w:r>
        <w:rPr/>
      </w:r>
      <m:oMath xmlns:m="http://schemas.openxmlformats.org/officeDocument/2006/math">
        <m:r>
          <w:rPr>
            <w:rFonts w:ascii="Cambria Math" w:hAnsi="Cambria Math"/>
          </w:rPr>
          <m:t xml:space="preserve">p</m:t>
        </m:r>
      </m:oMath>
      <w:r>
        <w:rPr/>
        <w:t xml:space="preserve">-values (D. G. Altman &amp; Bland, 1995; e.g., as the probability of an effect, S. Goodman, 2008), researchers who fabricate nonsignificant data might forget to fabricate a uniform </w:t>
      </w:r>
      <w:r>
        <w:rPr/>
      </w:r>
      <m:oMath xmlns:m="http://schemas.openxmlformats.org/officeDocument/2006/math">
        <m:r>
          <w:rPr>
            <w:rFonts w:ascii="Cambria Math" w:hAnsi="Cambria Math"/>
          </w:rPr>
          <m:t xml:space="preserve">p</m:t>
        </m:r>
      </m:oMath>
      <w:r>
        <w:rPr/>
        <w:t xml:space="preserve">-value distribution and generate only large </w:t>
      </w:r>
      <w:r>
        <w:rPr/>
      </w:r>
      <m:oMath xmlns:m="http://schemas.openxmlformats.org/officeDocument/2006/math">
        <m:r>
          <w:rPr>
            <w:rFonts w:ascii="Cambria Math" w:hAnsi="Cambria Math"/>
          </w:rPr>
          <m:t xml:space="preserve">p</m:t>
        </m:r>
      </m:oMath>
      <w:r>
        <w:rPr/>
        <w:t xml:space="preserve">-values when fabricating nonsignificant results. In that case, it makes sense to set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.05</m:t>
        </m:r>
      </m:oMath>
      <w:r>
        <w:rPr/>
        <w:t xml:space="preserve"> 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.10</m:t>
        </m:r>
      </m:oMath>
      <w:r>
        <w:rPr/>
        <w:t>, in order to include only nonsignificant test results.</w:t>
      </w:r>
    </w:p>
    <w:p>
      <w:pPr>
        <w:pStyle w:val="TextBody"/>
        <w:rPr/>
      </w:pPr>
      <w:r>
        <w:rPr/>
        <w:t xml:space="preserve">Despite this test being useful for detecting data anomalies in nonsignificant </w:t>
      </w:r>
      <w:r>
        <w:rPr/>
      </w:r>
      <m:oMath xmlns:m="http://schemas.openxmlformats.org/officeDocument/2006/math">
        <m:r>
          <w:rPr>
            <w:rFonts w:ascii="Cambria Math" w:hAnsi="Cambria Math"/>
          </w:rPr>
          <m:t xml:space="preserve">p</m:t>
        </m:r>
      </m:oMath>
      <w:r>
        <w:rPr/>
        <w:t xml:space="preserve">-values, two clear exceptions should be taken into account: (1) model-fit tests and (2) wrongly specified one-tailed tests. When model-fit tests are used, these can quickly result in high </w:t>
      </w:r>
      <w:r>
        <w:rPr/>
      </w:r>
      <m:oMath xmlns:m="http://schemas.openxmlformats.org/officeDocument/2006/math">
        <m:r>
          <w:rPr>
            <w:rFonts w:ascii="Cambria Math" w:hAnsi="Cambria Math"/>
          </w:rPr>
          <m:t xml:space="preserve">p</m:t>
        </m:r>
      </m:oMath>
      <w:r>
        <w:rPr/>
        <w:t xml:space="preserve">-values because of model saturation (i.e., where the null hypothesis is good fit and the alternative is bad fit). For properly specified one-tailed tests, the </w:t>
      </w:r>
      <w:r>
        <w:rPr/>
      </w:r>
      <m:oMath xmlns:m="http://schemas.openxmlformats.org/officeDocument/2006/math">
        <m:r>
          <w:rPr>
            <w:rFonts w:ascii="Cambria Math" w:hAnsi="Cambria Math"/>
          </w:rPr>
          <m:t xml:space="preserve">p</m:t>
        </m:r>
      </m:oMath>
      <w:r>
        <w:rPr/>
        <w:t>-value distribution is right-skewed. When wrongly specified, this distribution is reversed and becomes left-skew. These two exceptional cases should not be forgotten during the application of this test, but are irrelevant for the rest of this paper due to our study design (see methods of both studies).</w:t>
      </w:r>
    </w:p>
    <w:p>
      <w:pPr>
        <w:pStyle w:val="Heading3"/>
        <w:rPr/>
      </w:pPr>
      <w:bookmarkStart w:id="3" w:name="variance-analysis"/>
      <w:bookmarkEnd w:id="3"/>
      <w:r>
        <w:rPr/>
        <w:t>Variance analysis</w:t>
      </w:r>
    </w:p>
    <w:p>
      <w:pPr>
        <w:pStyle w:val="FirstParagraph"/>
        <w:rPr/>
      </w:pPr>
      <w:r>
        <w:rPr/>
        <w:t xml:space="preserve">Variance- or standard deviation estimates are typically reported to indicate spread, but just like the mean there should be sampling error in this estimate (i.e., the variance of the variances) proportionate to the sample size. A variance estimate follows a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-distribution, which is dependent on the sample size (p. 445; Hogg &amp; Tanis, 2001); that is</w:t>
      </w:r>
    </w:p>
    <w:p>
      <w:pPr>
        <w:pStyle w:val="TextBody"/>
        <w:rPr/>
      </w:pPr>
      <w:r>
        <w:rPr/>
      </w:r>
      <m:oMath xmlns:m="http://schemas.openxmlformats.org/officeDocument/2006/math">
        <m:sSubSup>
          <m:e>
            <m:r>
              <w:rPr>
                <w:rFonts w:ascii="Cambria Math" w:hAnsi="Cambria Math"/>
              </w:rPr>
              <m:t xml:space="preserve">z</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f>
          <m:fPr>
            <m:type m:val="lin"/>
          </m:fPr>
          <m:num>
            <m:d>
              <m:dPr>
                <m:begChr m:val="("/>
                <m:endChr m:val=")"/>
              </m:dPr>
              <m:e>
                <m:f>
                  <m:num>
                    <m:sSubSup>
                      <m:e>
                        <m:r>
                          <w:rPr>
                            <w:rFonts w:ascii="Cambria Math" w:hAnsi="Cambria Math"/>
                          </w:rPr>
                          <m:t xml:space="preserve">χ</m:t>
                        </m:r>
                      </m:e>
                      <m:sub>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den>
                </m:f>
              </m:e>
            </m:d>
          </m:num>
          <m:den>
            <m:r>
              <w:rPr>
                <w:rFonts w:ascii="Cambria Math" w:hAnsi="Cambria Math"/>
              </w:rPr>
              <m:t xml:space="preserve">M</m:t>
            </m:r>
          </m:den>
        </m:f>
        <m:sSub>
          <m:e>
            <m:r>
              <w:rPr>
                <w:rFonts w:ascii="Cambria Math" w:hAnsi="Cambria Math"/>
              </w:rPr>
              <m:t xml:space="preserve">S</m:t>
            </m:r>
          </m:e>
          <m:sub>
            <m:r>
              <w:rPr>
                <w:rFonts w:ascii="Cambria Math" w:hAnsi="Cambria Math"/>
              </w:rPr>
              <m:t xml:space="preserve">w</m:t>
            </m:r>
          </m:sub>
        </m:sSub>
      </m:oMath>
    </w:p>
    <w:p>
      <w:pPr>
        <w:pStyle w:val="FirstParagraph"/>
        <w:rPr/>
      </w:pPr>
      <w:r>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is the sample size of the </w:t>
      </w:r>
      <w:r>
        <w:rPr/>
      </w:r>
      <m:oMath xmlns:m="http://schemas.openxmlformats.org/officeDocument/2006/math">
        <m:r>
          <w:rPr>
            <w:rFonts w:ascii="Cambria Math" w:hAnsi="Cambria Math"/>
          </w:rPr>
          <m:t xml:space="preserve">j</m:t>
        </m:r>
      </m:oMath>
      <w:r>
        <w:rPr/>
        <w:t xml:space="preserve">th group and </w:t>
      </w:r>
      <w:r>
        <w:rPr/>
      </w:r>
      <m:oMath xmlns:m="http://schemas.openxmlformats.org/officeDocument/2006/math">
        <m:r>
          <w:rPr>
            <w:rFonts w:ascii="Cambria Math" w:hAnsi="Cambria Math"/>
          </w:rPr>
          <m:t xml:space="preserve">M</m:t>
        </m:r>
        <m:sSub>
          <m:e>
            <m:r>
              <w:rPr>
                <w:rFonts w:ascii="Cambria Math" w:hAnsi="Cambria Math"/>
              </w:rPr>
              <m:t xml:space="preserve">S</m:t>
            </m:r>
          </m:e>
          <m:sub>
            <m:r>
              <w:rPr>
                <w:rFonts w:ascii="Cambria Math" w:hAnsi="Cambria Math"/>
              </w:rPr>
              <m:t xml:space="preserve">w</m:t>
            </m:r>
          </m:sub>
        </m:sSub>
      </m:oMath>
      <w:r>
        <w:rPr/>
        <w:t xml:space="preserve"> is the normalizing constant resulting in a standardized variance </w:t>
      </w:r>
      <w:r>
        <w:rPr/>
      </w:r>
      <m:oMath xmlns:m="http://schemas.openxmlformats.org/officeDocument/2006/math">
        <m:sSubSup>
          <m:e>
            <m:r>
              <w:rPr>
                <w:rFonts w:ascii="Cambria Math" w:hAnsi="Cambria Math"/>
              </w:rPr>
              <m:t xml:space="preserve">z</m:t>
            </m:r>
          </m:e>
          <m:sub>
            <m:r>
              <w:rPr>
                <w:rFonts w:ascii="Cambria Math" w:hAnsi="Cambria Math"/>
              </w:rPr>
              <m:t xml:space="preserve">j</m:t>
            </m:r>
          </m:sub>
          <m:sup>
            <m:r>
              <w:rPr>
                <w:rFonts w:ascii="Cambria Math" w:hAnsi="Cambria Math"/>
              </w:rPr>
              <m:t xml:space="preserve">2</m:t>
            </m:r>
          </m:sup>
        </m:sSubSup>
      </m:oMath>
      <w:r>
        <w:rPr/>
        <w:t xml:space="preserve">. The normalizing constant </w:t>
      </w:r>
      <w:r>
        <w:rPr/>
      </w:r>
      <m:oMath xmlns:m="http://schemas.openxmlformats.org/officeDocument/2006/math">
        <m:r>
          <w:rPr>
            <w:rFonts w:ascii="Cambria Math" w:hAnsi="Cambria Math"/>
          </w:rPr>
          <m:t xml:space="preserve">M</m:t>
        </m:r>
        <m:sSub>
          <m:e>
            <m:r>
              <w:rPr>
                <w:rFonts w:ascii="Cambria Math" w:hAnsi="Cambria Math"/>
              </w:rPr>
              <m:t xml:space="preserve">S</m:t>
            </m:r>
          </m:e>
          <m:sub>
            <m:r>
              <w:rPr>
                <w:rFonts w:ascii="Cambria Math" w:hAnsi="Cambria Math"/>
              </w:rPr>
              <m:t xml:space="preserve">w</m:t>
            </m:r>
          </m:sub>
        </m:sSub>
      </m:oMath>
      <w:r>
        <w:rPr/>
        <w:t xml:space="preserve"> is computed as</w:t>
      </w:r>
    </w:p>
    <w:p>
      <w:pPr>
        <w:pStyle w:val="TextBody"/>
        <w:rPr/>
      </w:pPr>
      <w:r>
        <w:rPr/>
      </w:r>
      <m:oMath xmlns:m="http://schemas.openxmlformats.org/officeDocument/2006/math">
        <m:eqAr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e>
                </m:d>
              </m:e>
            </m:nary>
          </m:e>
          <m:e>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e>
                    </m:d>
                    <m:sSubSup>
                      <m:e>
                        <m:r>
                          <w:rPr>
                            <w:rFonts w:ascii="Cambria Math" w:hAnsi="Cambria Math"/>
                          </w:rPr>
                          <m:t xml:space="preserve">s</m:t>
                        </m:r>
                      </m:e>
                      <m:sub>
                        <m:r>
                          <w:rPr>
                            <w:rFonts w:ascii="Cambria Math" w:hAnsi="Cambria Math"/>
                          </w:rPr>
                          <m:t xml:space="preserve">j</m:t>
                        </m:r>
                      </m:sub>
                      <m:sup>
                        <m:r>
                          <w:rPr>
                            <w:rFonts w:ascii="Cambria Math" w:hAnsi="Cambria Math"/>
                          </w:rPr>
                          <m:t xml:space="preserve">2</m:t>
                        </m:r>
                      </m:sup>
                    </m:sSubSup>
                  </m:e>
                </m:nary>
              </m:num>
              <m:den/>
            </m:f>
          </m:e>
          <m:e>
            <m:r>
              <w:rPr>
                <w:rFonts w:ascii="Cambria Math" w:hAnsi="Cambria Math"/>
              </w:rPr>
              <m:t xml:space="preserve">M</m:t>
            </m:r>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e>
        </m:eqArr>
      </m:oMath>
    </w:p>
    <w:p>
      <w:pPr>
        <w:pStyle w:val="FirstParagraph"/>
        <w:rPr/>
      </w:pPr>
      <w:r>
        <w:rPr/>
        <w:t xml:space="preserve">where </w:t>
      </w:r>
      <w:r>
        <w:rPr/>
      </w:r>
      <m:oMath xmlns:m="http://schemas.openxmlformats.org/officeDocument/2006/math">
        <m:sSubSup>
          <m:e>
            <m:r>
              <w:rPr>
                <w:rFonts w:ascii="Cambria Math" w:hAnsi="Cambria Math"/>
              </w:rPr>
              <m:t xml:space="preserve">s</m:t>
            </m:r>
          </m:e>
          <m:sub>
            <m:r>
              <w:rPr>
                <w:rFonts w:ascii="Cambria Math" w:hAnsi="Cambria Math"/>
              </w:rPr>
              <m:t xml:space="preserve">j</m:t>
            </m:r>
          </m:sub>
          <m:sup>
            <m:r>
              <w:rPr>
                <w:rFonts w:ascii="Cambria Math" w:hAnsi="Cambria Math"/>
              </w:rPr>
              <m:t xml:space="preserve">2</m:t>
            </m:r>
          </m:sup>
        </m:sSubSup>
      </m:oMath>
      <w:r>
        <w:rPr/>
        <w:t xml:space="preserve"> is the variance in the </w:t>
      </w:r>
      <w:r>
        <w:rPr/>
      </w:r>
      <m:oMath xmlns:m="http://schemas.openxmlformats.org/officeDocument/2006/math">
        <m:r>
          <w:rPr>
            <w:rFonts w:ascii="Cambria Math" w:hAnsi="Cambria Math"/>
          </w:rPr>
          <m:t xml:space="preserve">j</m:t>
        </m:r>
      </m:oMath>
      <w:r>
        <w:rPr/>
        <w:t xml:space="preserve">th group. If simulating (see next paragraph), the simulated variances are used to compute </w:t>
      </w:r>
      <w:r>
        <w:rPr/>
      </w:r>
      <m:oMath xmlns:m="http://schemas.openxmlformats.org/officeDocument/2006/math">
        <m:r>
          <w:rPr>
            <w:rFonts w:ascii="Cambria Math" w:hAnsi="Cambria Math"/>
          </w:rPr>
          <m:t xml:space="preserve">M</m:t>
        </m:r>
        <m:sSub>
          <m:e>
            <m:r>
              <w:rPr>
                <w:rFonts w:ascii="Cambria Math" w:hAnsi="Cambria Math"/>
              </w:rPr>
              <m:t xml:space="preserve">S</m:t>
            </m:r>
          </m:e>
          <m:sub>
            <m:r>
              <w:rPr>
                <w:rFonts w:ascii="Cambria Math" w:hAnsi="Cambria Math"/>
              </w:rPr>
              <m:t xml:space="preserve">w</m:t>
            </m:r>
          </m:sub>
        </m:sSub>
      </m:oMath>
      <w:r>
        <w:rPr/>
        <w:t>.</w:t>
      </w:r>
    </w:p>
    <w:p>
      <w:pPr>
        <w:pStyle w:val="TextBody"/>
        <w:rPr/>
      </w:pPr>
      <w:r>
        <w:rPr/>
        <w:t xml:space="preserve">Assuming that the observed variances are from the same population distribution, the expected spread of reported standardized variances can be simulated. By repeatedly drawing (standardized) variance estimates for </w:t>
      </w:r>
      <w:r>
        <w:rPr/>
      </w:r>
      <m:oMath xmlns:m="http://schemas.openxmlformats.org/officeDocument/2006/math">
        <m:r>
          <w:rPr>
            <w:rFonts w:ascii="Cambria Math" w:hAnsi="Cambria Math"/>
          </w:rPr>
          <m:t xml:space="preserve">j</m:t>
        </m:r>
      </m:oMath>
      <w:r>
        <w:rPr/>
        <w:t xml:space="preserve"> groups and then computing their spread allows for approximation of the sampling distribution. Spread can be operationalized in various ways, such as the standard deviation of the variances (denoted in this paper as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or as the range of the variances (denoted as </w:t>
      </w:r>
      <w:r>
        <w:rPr/>
      </w:r>
      <m:oMath xmlns:m="http://schemas.openxmlformats.org/officeDocument/2006/math">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If there is reason to believe that the observed variances come from heterogeneous populations, subgrouping (i.e., one variance analysis per subgroup) is necessary to prevent false results.</w:t>
      </w:r>
    </w:p>
    <w:p>
      <w:pPr>
        <w:pStyle w:val="TextBody"/>
        <w:rPr/>
      </w:pPr>
      <w:r>
        <w:rPr/>
        <w:t xml:space="preserve">Subsequently, the observed sampling variance (or range) can be compared to the expected sampling distribution. Too consistent results would indicate potential anomalies in the reported data (Simonsohn, 2013). For example, if four independent samples all yield the variance </w:t>
      </w:r>
      <w:r>
        <w:rPr/>
      </w:r>
      <m:oMath xmlns:m="http://schemas.openxmlformats.org/officeDocument/2006/math">
        <m:r>
          <w:rPr>
            <w:rFonts w:ascii="Cambria Math" w:hAnsi="Cambria Math"/>
          </w:rPr>
          <m:t xml:space="preserve">2.22</m:t>
        </m:r>
      </m:oMath>
      <w:r>
        <w:rPr/>
        <w:t>, this could be considered excessively consistent when the probability that this amount of consistency (or more) is less than 1 out of 1000 in truly random samples.</w:t>
      </w:r>
    </w:p>
    <w:p>
      <w:pPr>
        <w:pStyle w:val="Heading3"/>
        <w:rPr/>
      </w:pPr>
      <w:bookmarkStart w:id="4" w:name="effect-size-analysis"/>
      <w:bookmarkEnd w:id="4"/>
      <w:r>
        <w:rPr/>
        <w:t>Effect size analysis</w:t>
      </w:r>
    </w:p>
    <w:p>
      <w:pPr>
        <w:pStyle w:val="FirstParagraph"/>
        <w:rPr/>
      </w:pPr>
      <w:r>
        <w:rPr/>
        <w:t xml:space="preserve">A fabricator might present unrealistically large effects, forgetting the exponential relation between the effect size measure and the implied correlation. From our own experience, and anecdotal evidence elsewhere (Bailey, 1991), large effects have previously raised initial suspicions. The size of a large effect can quickly become unrealistic;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1.2</m:t>
        </m:r>
      </m:oMath>
      <w:r>
        <w:rPr/>
        <w:t xml:space="preserve"> already implies a correlation of 0.51 between the dependent- and independent measures. More generally, the relation between the implied correlation and the effect size tends to be exponential, as Figure 1 depicts.</w:t>
      </w:r>
    </w:p>
    <w:p>
      <w:pPr>
        <w:pStyle w:val="FigurewithCaption"/>
        <w:rPr/>
      </w:pPr>
      <w:r>
        <w:rPr/>
        <w:drawing>
          <wp:inline distT="0" distB="0" distL="114935" distR="114935">
            <wp:extent cx="4620260" cy="3696335"/>
            <wp:effectExtent l="0" t="0" r="0" b="0"/>
            <wp:docPr id="1" name="Picture" descr="Figure XX. The relation between Cohen's d effect size and its direct transformation, the correlation r (or vice versa). If effects d&gt;2 are fabricated, the implied correlation between the dependent- and independent measure(s) is approximately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XX. The relation between Cohen's d effect size and its direct transformation, the correlation r (or vice versa). If effects d&gt;2 are fabricated, the implied correlation between the dependent- and independent measure(s) is approximately .6."/>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ImageCaption"/>
        <w:rPr/>
      </w:pPr>
      <w:r>
        <w:rPr>
          <w:i/>
        </w:rPr>
        <w:t>Figure XX.</w:t>
      </w:r>
      <w:r>
        <w:rPr/>
        <w:t xml:space="preserve"> The relation between Cohen's d effect size and its direct transformation, the correlation r (or vice versa). If effects d&gt;2 are fabricated, the implied correlation between the dependent- and independent measure(s) is approximately .6.</w:t>
      </w:r>
    </w:p>
    <w:p>
      <w:pPr>
        <w:pStyle w:val="TextBody"/>
        <w:rPr/>
      </w:pPr>
      <w:r>
        <w:rPr/>
        <w:t xml:space="preserve">Taking the observed effect size and transforming it into a correlation, allows for an easy way to assess how extreme the presented result is. One minus the observed correlation can be used as a measure for extreme effects (i.e.,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r</m:t>
        </m:r>
      </m:oMath>
      <w:r>
        <w:rPr/>
        <w:t xml:space="preserve">); as a heuristic, it can be regarded as a </w:t>
      </w:r>
      <w:r>
        <w:rPr/>
      </w:r>
      <m:oMath xmlns:m="http://schemas.openxmlformats.org/officeDocument/2006/math">
        <m:r>
          <w:rPr>
            <w:rFonts w:ascii="Cambria Math" w:hAnsi="Cambria Math"/>
          </w:rPr>
          <m:t xml:space="preserve">p</m:t>
        </m:r>
      </m:oMath>
      <w:r>
        <w:rPr/>
        <w:t>-value. That is, this measure too ranges from zero to one and the more extreme the effect size, the smaller the value. This method specifically looks at situations where fabricators would want to fabricate the existence of an effect (not the absence of one).</w:t>
      </w:r>
    </w:p>
    <w:p>
      <w:pPr>
        <w:pStyle w:val="Heading2"/>
        <w:rPr/>
      </w:pPr>
      <w:bookmarkStart w:id="5" w:name="detecting-data-fabrication-in-raw-data"/>
      <w:bookmarkEnd w:id="5"/>
      <w:r>
        <w:rPr/>
        <w:t>Detecting data fabrication in raw data</w:t>
      </w:r>
    </w:p>
    <w:p>
      <w:pPr>
        <w:pStyle w:val="Heading3"/>
        <w:rPr/>
      </w:pPr>
      <w:bookmarkStart w:id="6" w:name="digit-analysis"/>
      <w:bookmarkEnd w:id="6"/>
      <w:r>
        <w:rPr/>
        <w:t>Digit analysis</w:t>
      </w:r>
    </w:p>
    <w:p>
      <w:pPr>
        <w:pStyle w:val="Heading3"/>
        <w:rPr/>
      </w:pPr>
      <w:bookmarkStart w:id="7" w:name="variance-analysis-1"/>
      <w:bookmarkEnd w:id="7"/>
      <w:r>
        <w:rPr/>
        <w:t>Variance analysis</w:t>
      </w:r>
    </w:p>
    <w:p>
      <w:pPr>
        <w:pStyle w:val="Heading3"/>
        <w:rPr/>
      </w:pPr>
      <w:bookmarkStart w:id="8" w:name="multivariate-associations"/>
      <w:bookmarkEnd w:id="8"/>
      <w:r>
        <w:rPr/>
        <w:t>Multivariate associations</w:t>
      </w:r>
    </w:p>
    <w:p>
      <w:pPr>
        <w:pStyle w:val="Heading1"/>
        <w:rPr/>
      </w:pPr>
      <w:bookmarkStart w:id="9" w:name="study-1"/>
      <w:bookmarkEnd w:id="9"/>
      <w:r>
        <w:rPr/>
        <w:t>Study 1</w:t>
      </w:r>
    </w:p>
    <w:p>
      <w:pPr>
        <w:pStyle w:val="FirstParagraph"/>
        <w:rPr/>
      </w:pPr>
      <w:r>
        <w:rPr/>
        <w:t>We tested the performance of statistical methods to detect data fabrication in summary results with genuine- and fabricated summary results from four anchoring studies (Jacowitz &amp; Kahneman, 1995; A. Tversky &amp; Kahneman, 1974). The anchoring effect is a well-known psychological heuristic that uses the information in the question as the starting point for the answer, which is then adjusted to yield a final estimate of a quantity. For example 'Is the percentage of African countries in the United Nations more or less than [10% or 65%]?'. These questions yield mean responses of 25% and 45%, respectively (A. Tversky &amp; Kahneman, 1974), despite essentially posing the same factual question. A considerable amount of genuine datasets on this heuristic are freely available and we collected fabricated datasets within this study. This study was approved by the Tilburg Ethical Review Board (EC-2015.50).</w:t>
      </w:r>
    </w:p>
    <w:p>
      <w:pPr>
        <w:pStyle w:val="Heading2"/>
        <w:rPr/>
      </w:pPr>
      <w:bookmarkStart w:id="10" w:name="methods"/>
      <w:bookmarkEnd w:id="10"/>
      <w:r>
        <w:rPr/>
        <w:t>Methods</w:t>
      </w:r>
    </w:p>
    <w:p>
      <w:pPr>
        <w:pStyle w:val="FirstParagraph"/>
        <w:rPr/>
      </w:pPr>
      <w:r>
        <w:rPr/>
        <w:t xml:space="preserve">We collected summary results for four anchoring studies: (i) distance from San Francisco to New York, (ii) population of Chicago, (iii) height of the Mount Everest, and (iv) the number of babies born per day in the United States (Jacowitz &amp; Kahneman, 1995). Each of the four studies provided us with summary results for a 2 (low/high anchoring) </w:t>
      </w:r>
      <w:r>
        <w:rPr/>
      </w:r>
      <m:oMath xmlns:m="http://schemas.openxmlformats.org/officeDocument/2006/math">
        <m:r>
          <w:rPr>
            <w:rFonts w:ascii="Cambria Math" w:hAnsi="Cambria Math"/>
          </w:rPr>
          <m:t xml:space="preserve">×</m:t>
        </m:r>
      </m:oMath>
      <w:r>
        <w:rPr/>
        <w:t xml:space="preserve"> 2 (male/female) factorial design. Throughout this study, the unit of analysis is a set of summary statistics (i.e., means, standard deviations, and test results) for the four anchoring studies from one respondent. For current purposes, a respondent is defined as researcher/lab where the four anchoring studies' summary statistics originate from. All materials, data, and analyses scripts are freely available on the OSF (</w:t>
      </w:r>
      <w:hyperlink r:id="rId4">
        <w:r>
          <w:rPr>
            <w:rStyle w:val="InternetLink"/>
          </w:rPr>
          <w:t>https://osf.io/b24pq</w:t>
        </w:r>
      </w:hyperlink>
      <w:r>
        <w:rPr/>
        <w:t xml:space="preserve">) and a preregistration is available at </w:t>
      </w:r>
      <w:hyperlink r:id="rId5">
        <w:r>
          <w:rPr>
            <w:rStyle w:val="InternetLink"/>
          </w:rPr>
          <w:t>https://osf.io/ejf5x</w:t>
        </w:r>
      </w:hyperlink>
      <w:r>
        <w:rPr/>
        <w:t xml:space="preserve"> (deviations are explicated in this report).</w:t>
      </w:r>
    </w:p>
    <w:p>
      <w:pPr>
        <w:pStyle w:val="Heading3"/>
        <w:rPr/>
      </w:pPr>
      <w:bookmarkStart w:id="11" w:name="data-collection"/>
      <w:bookmarkEnd w:id="11"/>
      <w:r>
        <w:rPr/>
        <w:t>Data collection</w:t>
      </w:r>
    </w:p>
    <w:p>
      <w:pPr>
        <w:pStyle w:val="FirstParagraph"/>
        <w:rPr/>
      </w:pPr>
      <w:r>
        <w:rPr/>
        <w:t>We downloaded thirty-six genuine datasets from the publicly available Many Labs (ML) project (</w:t>
      </w:r>
      <w:hyperlink r:id="rId6">
        <w:r>
          <w:rPr>
            <w:rStyle w:val="InternetLink"/>
          </w:rPr>
          <w:t>https://osf.io/pqf9r</w:t>
        </w:r>
      </w:hyperlink>
      <w:r>
        <w:rPr/>
        <w:t xml:space="preserve">; Klein et al., 2014). The ML project replicated several effects across thirty-six locations, including the anchoring effect in the four studies mentioned previously. Considering the size of the ML project, the transparency of research results, and minimal individual gain for fabricating data, we assumed these data to be genuine. For each of the thirty-six locations we computed sample sizes, means, and standard deviations for each of the four conditions in the four anchoring studies (i.e.,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oMath>
      <w:r>
        <w:rPr/>
        <w:t>) for each of the thirty-six locations. We computed these summary statistics from the raw ML data, which were cleaned using the original analysis scripts from the ML project.</w:t>
      </w:r>
    </w:p>
    <w:p>
      <w:pPr>
        <w:pStyle w:val="TextBody"/>
        <w:rPr/>
      </w:pPr>
      <w:r>
        <w:rPr/>
        <w:t>Using quotum sampling, we collected thirty-six fabricated datasets of summary results for the same four anchoring studies. Quotum sampling was used to sample as many responses as possible for the available 36 rewards (i.e., not all respondents might request the gift card and count towards the quotum; one participant did not request a reward). The sampling frame consisted of 2,038 psychology researchers who published a peer-reviewed paper in 2015, as indexed in Web of Science (WoS) with the filter set to the U.S. We sampled psychology researchers to improve familiarity with the anchoring effect (Jacowitz &amp; Kahneman, 1995; A. Tversky &amp; Kahneman, 1974), for which summary results were fabricated. We filtered for U.S. researchers to ensure familiarity with the imperial measurement system, which is the scale of some of the anchoring studies (note: we found out several non-U.S. researchers were included because the WoS filter also retained papers with co-authors from the U.S.). WoS was searched on October 13, 2015. In total, 2,038 unique corresponding e-mails were extracted from 2,014 papers (due to multiple corresponding authors).</w:t>
      </w:r>
    </w:p>
    <w:p>
      <w:pPr>
        <w:pStyle w:val="TextBody"/>
        <w:rPr/>
      </w:pPr>
      <w:r>
        <w:rPr/>
        <w:t xml:space="preserve">We invited a random sample of 1,000 researchers via e-mail to participate in this study on April 25, 2016 (invitation: </w:t>
      </w:r>
      <w:hyperlink r:id="rId7">
        <w:r>
          <w:rPr>
            <w:rStyle w:val="InternetLink"/>
          </w:rPr>
          <w:t>https://osf.io/s4w8r</w:t>
        </w:r>
      </w:hyperlink>
      <w:r>
        <w:rPr/>
        <w:t xml:space="preserve">). The study took place via Qualtrics with anonimization procedures in place (e.g., no IP-addresses saved). We informed the participating researchers that the study would require them to fabricate data and explicitly mentioned that we would investigate these data with statistical methods to detect data fabrication. We also clarified to the respondents that they could stop at any time without providing a reason. If they wanted, respondents received a $30 Amazon gift card as compensation for their participation if they were willing to enter their email address. They could win an additional $50 Amazon gift card if they were one of three top fabricators. The provided e-mail addresses were unlinked from individual responses upon sending the bonus gift cards. The full text of the Qualtrics survey is available at </w:t>
      </w:r>
      <w:hyperlink r:id="rId8">
        <w:r>
          <w:rPr>
            <w:rStyle w:val="InternetLink"/>
          </w:rPr>
          <w:t>https://osf.io/w984b</w:t>
        </w:r>
      </w:hyperlink>
      <w:r>
        <w:rPr/>
        <w:t>.</w:t>
      </w:r>
    </w:p>
    <w:p>
      <w:pPr>
        <w:pStyle w:val="TextBody"/>
        <w:rPr/>
      </w:pPr>
      <w:r>
        <w:rPr/>
        <w:t xml:space="preserve">Each respondent was instructed to fabricate 32 summary statistics (4 studies </w:t>
      </w:r>
      <w:r>
        <w:rPr/>
      </w:r>
      <m:oMath xmlns:m="http://schemas.openxmlformats.org/officeDocument/2006/math">
        <m:r>
          <w:rPr>
            <w:rFonts w:ascii="Cambria Math" w:hAnsi="Cambria Math"/>
          </w:rPr>
          <m:t xml:space="preserve">×</m:t>
        </m:r>
      </m:oMath>
      <w:r>
        <w:rPr/>
        <w:t xml:space="preserve"> 2 conditions </w:t>
      </w:r>
      <w:r>
        <w:rPr/>
      </w:r>
      <m:oMath xmlns:m="http://schemas.openxmlformats.org/officeDocument/2006/math">
        <m:r>
          <w:rPr>
            <w:rFonts w:ascii="Cambria Math" w:hAnsi="Cambria Math"/>
          </w:rPr>
          <m:t xml:space="preserve">×</m:t>
        </m:r>
      </m:oMath>
      <w:r>
        <w:rPr/>
        <w:t xml:space="preserve"> 2 sexes </w:t>
      </w:r>
      <w:r>
        <w:rPr/>
      </w:r>
      <m:oMath xmlns:m="http://schemas.openxmlformats.org/officeDocument/2006/math">
        <m:r>
          <w:rPr>
            <w:rFonts w:ascii="Cambria Math" w:hAnsi="Cambria Math"/>
          </w:rPr>
          <m:t xml:space="preserve">×</m:t>
        </m:r>
      </m:oMath>
      <w:r>
        <w:rPr/>
        <w:t xml:space="preserve"> 2 statistics [mean and sd]) that fulfilled three hypotheses. We instructed respondents to fabricate results for the following hypotheses: there is (i) a main effect of condition, (ii) no effect of sex, and (iii) no interaction effect between condition and sex. We fixed the sample sizes to 25 per cell; respondents did not need to fabricate sample sizes. The fabricated summary statistics and their accompanying test results for these three hypotheses serve as the data to examine the properties of statistical tools to detect data fabrication.</w:t>
      </w:r>
    </w:p>
    <w:p>
      <w:pPr>
        <w:pStyle w:val="TextBody"/>
        <w:rPr/>
      </w:pPr>
      <w:r>
        <w:rPr/>
        <w:t xml:space="preserve">We provided respondents with a template spreadsheet to fill out the fabricated data, in order to standardize the fabrication process without restraining the participant in how they chose to fabricate data. Figure 2 depicts an example of this spreadsheet (original: </w:t>
      </w:r>
      <w:hyperlink r:id="rId9">
        <w:r>
          <w:rPr>
            <w:rStyle w:val="InternetLink"/>
          </w:rPr>
          <w:t>https://osf.io/w6v4u</w:t>
        </w:r>
      </w:hyperlink>
      <w:r>
        <w:rPr/>
        <w:t>). We requested respondents to fill in the yellow cells with fabricated data, which includes means and the standard deviations for four conditions. Using these values, statistical tests are computed and shown in the "Current result" column instantaneously. If these results confirmed the hypotheses, a checkmark appeared as depicted in Figure 2. We required respondents to copy-paste the yellow cells into Qualtrics, to provide a standardized response format that could be automatically processed in the analyses.</w:t>
      </w:r>
    </w:p>
    <w:p>
      <w:pPr>
        <w:pStyle w:val="FigurewithCaption"/>
        <w:rPr/>
      </w:pPr>
      <w:r>
        <w:rPr/>
        <w:drawing>
          <wp:inline distT="0" distB="0" distL="114935" distR="114935">
            <wp:extent cx="5334000" cy="1485900"/>
            <wp:effectExtent l="0" t="0" r="0" b="0"/>
            <wp:docPr id="2" name="Image1" descr="Figure XX. Example of a filled in template spreadsheet used in the fabrication process of Study 1. Respondents fabricated data in the yellow cells, which were used to compute the results of the hypothesis tests. If the fabricated data confirm the hypotheses, a checkmark appeared in a green cell (one of four template spreadsheets available at https://osf.io/w6v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XX. Example of a filled in template spreadsheet used in the fabrication process of Study 1. Respondents fabricated data in the yellow cells, which were used to compute the results of the hypothesis tests. If the fabricated data confirm the hypotheses, a checkmark appeared in a green cell (one of four template spreadsheets available at https://osf.io/w6v4u/)."/>
                    <pic:cNvPicPr>
                      <a:picLocks noChangeAspect="1" noChangeArrowheads="1"/>
                    </pic:cNvPicPr>
                  </pic:nvPicPr>
                  <pic:blipFill>
                    <a:blip r:embed="rId10"/>
                    <a:stretch>
                      <a:fillRect/>
                    </a:stretch>
                  </pic:blipFill>
                  <pic:spPr bwMode="auto">
                    <a:xfrm>
                      <a:off x="0" y="0"/>
                      <a:ext cx="5334000" cy="1485900"/>
                    </a:xfrm>
                    <a:prstGeom prst="rect">
                      <a:avLst/>
                    </a:prstGeom>
                  </pic:spPr>
                </pic:pic>
              </a:graphicData>
            </a:graphic>
          </wp:inline>
        </w:drawing>
      </w:r>
    </w:p>
    <w:p>
      <w:pPr>
        <w:pStyle w:val="ImageCaption"/>
        <w:rPr/>
      </w:pPr>
      <w:r>
        <w:rPr>
          <w:i/>
        </w:rPr>
        <w:t>Figure XX.</w:t>
      </w:r>
      <w:r>
        <w:rPr/>
        <w:t xml:space="preserve"> Example of a filled in template spreadsheet used in the fabrication process of Study 1. Respondents fabricated data in the yellow cells, which were used to compute the results of the hypothesis tests. If the fabricated data confirm the hypotheses, a checkmark appeared in a green cell (one of four template spreadsheets available at </w:t>
      </w:r>
      <w:hyperlink r:id="rId11">
        <w:r>
          <w:rPr>
            <w:rStyle w:val="InternetLink"/>
          </w:rPr>
          <w:t>https://osf.io/w6v4u/</w:t>
        </w:r>
      </w:hyperlink>
      <w:r>
        <w:rPr/>
        <w:t>).</w:t>
      </w:r>
    </w:p>
    <w:p>
      <w:pPr>
        <w:pStyle w:val="TextBody"/>
        <w:rPr/>
      </w:pPr>
      <w:r>
        <w:rPr/>
        <w:t>Upon completing the fabrication of the data, respondents were debriefed. Respondents answered several questions about their statistical knowledge and approach to data fabrication and finally we reminded them that data fabrication is widely condemned by professional organizations, institutions, and funding agencies alike. We rewarded participation with a $30 Amazon gift card and the fabricated results that were most difficult to detect received a bonus $50 Amazon gift card.</w:t>
      </w:r>
    </w:p>
    <w:p>
      <w:pPr>
        <w:pStyle w:val="Heading3"/>
        <w:rPr/>
      </w:pPr>
      <w:bookmarkStart w:id="12" w:name="data-analysis"/>
      <w:bookmarkEnd w:id="12"/>
      <w:r>
        <w:rPr/>
        <w:t>Data analysis</w:t>
      </w:r>
    </w:p>
    <w:p>
      <w:pPr>
        <w:pStyle w:val="FirstParagraph"/>
        <w:rPr/>
      </w:pPr>
      <w:r>
        <w:rPr/>
        <w:t xml:space="preserve">We analyzed the genuine- and fabricated datasets for the four anchoring studies in four ways. First, we applied variance analyses to the reported variances of each of the four groups per study separately. Second, we applied the reversed Fisher method to the results of the gender and interaction hypotheses (i.e., nonsignificant results) across the four studies. Third, we combined the results from the variance analyses and the reversed Fisher method, using the original Fisher method (Fisher, 1925). Fourth, and not preregistered, we used effect size analysis (i.e.,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r</m:t>
        </m:r>
      </m:oMath>
      <w:r>
        <w:rPr/>
        <w:t>) that is a proxy of how extreme an effect is.</w:t>
      </w:r>
    </w:p>
    <w:p>
      <w:pPr>
        <w:pStyle w:val="TextBody"/>
        <w:rPr/>
      </w:pPr>
      <w:r>
        <w:rPr/>
        <w:t>Specifically for the variance analyses, we deviated from the preregistration. Initially, we simultaneously analyzed the reported variances per study across the anchoring conditions. However, upon analyzing these values, we realized that the variance analyses assume that the reported variances are from the same population distribution, which is not necessarily the case for the anchoring conditions. Hence, we included two variance analyses per anchoring study (i.e., one for the high anchoring condition and one for the low anchoring condition). In the results we differentiate between these by using 'homogeneous' (across conditions) and 'heterogeneous' (separated for low- and high anchoring conditions).</w:t>
      </w:r>
    </w:p>
    <w:p>
      <w:pPr>
        <w:pStyle w:val="TextBody"/>
        <w:rPr/>
      </w:pPr>
      <w:r>
        <w:rPr/>
        <w:t xml:space="preserve">For each of these statistical tests to detect data fabrication we carried out sensitivity and specificity analyses using Area Under Receiving Operator Characteristic (AUROC) curves. AUROC-analyses indicate the sensitivity (i.e., True Positive Rate [TPR]) and specificity (i.e., True Negative Rate [TNR]) for various decision criteria (e.g.,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.02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.99</m:t>
        </m:r>
        <m:r>
          <w:rPr>
            <w:rFonts w:ascii="Cambria Math" w:hAnsi="Cambria Math"/>
          </w:rPr>
          <m:t xml:space="preserve">,</m:t>
        </m:r>
        <m:r>
          <w:rPr>
            <w:rFonts w:ascii="Cambria Math" w:hAnsi="Cambria Math"/>
          </w:rPr>
          <m:t xml:space="preserve">1</m:t>
        </m:r>
      </m:oMath>
      <w:r>
        <w:rPr/>
        <w:t xml:space="preserve">). With these AUROC-curves, informed decisions about optimal alpha levels can be made based on various criteria. In this case, we determine the optimal alpha level by finding that alpha level for which the combination of TPR and TNR were highest. For example, if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.04</m:t>
        </m:r>
      </m:oMath>
      <w:r>
        <w:rPr/>
        <w:t xml:space="preserve"> results in </w:t>
      </w:r>
      <w:r>
        <w:rPr/>
      </w:r>
      <m:oMath xmlns:m="http://schemas.openxmlformats.org/officeDocument/2006/math">
        <m:r>
          <w:rPr>
            <w:rFonts w:ascii="Cambria Math" w:hAnsi="Cambria Math"/>
          </w:rPr>
          <m:t xml:space="preserve">T</m:t>
        </m:r>
        <m:r>
          <w:rPr>
            <w:rFonts w:ascii="Cambria Math" w:hAnsi="Cambria Math"/>
          </w:rPr>
          <m:t xml:space="preserve">P</m:t>
        </m:r>
        <m:r>
          <w:rPr>
            <w:rFonts w:ascii="Cambria Math" w:hAnsi="Cambria Math"/>
          </w:rPr>
          <m:t xml:space="preserve">R</m:t>
        </m:r>
        <m:r>
          <w:rPr>
            <w:rFonts w:ascii="Cambria Math" w:hAnsi="Cambria Math"/>
          </w:rPr>
          <m:t xml:space="preserve">=</m:t>
        </m:r>
        <m:r>
          <w:rPr>
            <w:rFonts w:ascii="Cambria Math" w:hAnsi="Cambria Math"/>
          </w:rPr>
          <m:t xml:space="preserve">.30</m:t>
        </m:r>
      </m:oMath>
      <w:r>
        <w:rPr/>
        <w:t xml:space="preserve"> and </w:t>
      </w:r>
      <w:r>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R</m:t>
        </m:r>
        <m:r>
          <w:rPr>
            <w:rFonts w:ascii="Cambria Math" w:hAnsi="Cambria Math"/>
          </w:rPr>
          <m:t xml:space="preserve">=</m:t>
        </m:r>
        <m:r>
          <w:rPr>
            <w:rFonts w:ascii="Cambria Math" w:hAnsi="Cambria Math"/>
          </w:rPr>
          <m:t xml:space="preserve">.70</m:t>
        </m:r>
      </m:oMath>
      <w:r>
        <w:rPr/>
        <w:t xml:space="preserve">, but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.05</m:t>
        </m:r>
      </m:oMath>
      <w:r>
        <w:rPr/>
        <w:t xml:space="preserve"> results in </w:t>
      </w:r>
      <w:r>
        <w:rPr/>
      </w:r>
      <m:oMath xmlns:m="http://schemas.openxmlformats.org/officeDocument/2006/math">
        <m:r>
          <w:rPr>
            <w:rFonts w:ascii="Cambria Math" w:hAnsi="Cambria Math"/>
          </w:rPr>
          <m:t xml:space="preserve">T</m:t>
        </m:r>
        <m:r>
          <w:rPr>
            <w:rFonts w:ascii="Cambria Math" w:hAnsi="Cambria Math"/>
          </w:rPr>
          <m:t xml:space="preserve">P</m:t>
        </m:r>
        <m:r>
          <w:rPr>
            <w:rFonts w:ascii="Cambria Math" w:hAnsi="Cambria Math"/>
          </w:rPr>
          <m:t xml:space="preserve">R</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R</m:t>
        </m:r>
        <m:r>
          <w:rPr>
            <w:rFonts w:ascii="Cambria Math" w:hAnsi="Cambria Math"/>
          </w:rPr>
          <m:t xml:space="preserve">=</m:t>
        </m:r>
        <m:r>
          <w:rPr>
            <w:rFonts w:ascii="Cambria Math" w:hAnsi="Cambria Math"/>
          </w:rPr>
          <m:t xml:space="preserve">.5</m:t>
        </m:r>
      </m:oMath>
      <w:r>
        <w:rPr/>
        <w:t>, .05 was chosen as an optimal decision criterion based on the sample.</w:t>
      </w:r>
    </w:p>
    <w:p>
      <w:pPr>
        <w:pStyle w:val="TextBody"/>
        <w:rPr/>
      </w:pPr>
      <w:r>
        <w:rPr/>
        <w:t xml:space="preserve">AUROC values indicates the probability that a randomly drawn fabricated- and genuine dataset can be correctly classified as fabricated and genuine (Hanley &amp; McNeil, 1982). In other words, if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.5</m:t>
        </m:r>
      </m:oMath>
      <w:r>
        <w:rPr/>
        <w:t xml:space="preserve">, correctly classifying a randomly drawn dataset in this sample is equal to a coin flip. For this setting, we will regard any AUROC </w:t>
      </w:r>
      <w:r>
        <w:rPr/>
      </w:r>
      <m:oMath xmlns:m="http://schemas.openxmlformats.org/officeDocument/2006/math">
        <m:r>
          <w:rPr>
            <w:rFonts w:ascii="Cambria Math" w:hAnsi="Cambria Math"/>
          </w:rPr>
          <m:t xml:space="preserve">.6</m:t>
        </m:r>
      </m:oMath>
      <w:r>
        <w:rPr/>
        <w:t xml:space="preserve"> as plainly insufficient for detecting data fabrication, </w:t>
      </w:r>
      <w:r>
        <w:rPr/>
      </w:r>
      <m:oMath xmlns:m="http://schemas.openxmlformats.org/officeDocument/2006/math">
        <m:r>
          <w:rPr>
            <w:rFonts w:ascii="Cambria Math" w:hAnsi="Cambria Math"/>
          </w:rPr>
          <m:t xml:space="preserve">.6</m:t>
        </m:r>
        <m:r>
          <w:rPr>
            <w:rFonts w:ascii="Cambria Math" w:hAnsi="Cambria Math"/>
          </w:rPr>
          <m:t xml:space="preserve">≤</m:t>
        </m:r>
      </m:oMath>
      <w:r>
        <w:rPr/>
        <w:t xml:space="preserve"> AUROC </w:t>
      </w:r>
      <w:r>
        <w:rPr/>
      </w:r>
      <m:oMath xmlns:m="http://schemas.openxmlformats.org/officeDocument/2006/math">
        <m:r>
          <w:rPr>
            <w:rFonts w:ascii="Cambria Math" w:hAnsi="Cambria Math"/>
          </w:rPr>
          <m:t xml:space="preserve">.7</m:t>
        </m:r>
      </m:oMath>
      <w:r>
        <w:rPr/>
        <w:t xml:space="preserve"> as failed, </w:t>
      </w:r>
      <w:r>
        <w:rPr/>
      </w:r>
      <m:oMath xmlns:m="http://schemas.openxmlformats.org/officeDocument/2006/math">
        <m:r>
          <w:rPr>
            <w:rFonts w:ascii="Cambria Math" w:hAnsi="Cambria Math"/>
          </w:rPr>
          <m:t xml:space="preserve">.7</m:t>
        </m:r>
        <m:r>
          <w:rPr>
            <w:rFonts w:ascii="Cambria Math" w:hAnsi="Cambria Math"/>
          </w:rPr>
          <m:t xml:space="preserve">≤</m:t>
        </m:r>
      </m:oMath>
      <w:r>
        <w:rPr/>
        <w:t xml:space="preserve"> AUROC </w:t>
      </w:r>
      <w:r>
        <w:rPr/>
      </w:r>
      <m:oMath xmlns:m="http://schemas.openxmlformats.org/officeDocument/2006/math">
        <m:r>
          <w:rPr>
            <w:rFonts w:ascii="Cambria Math" w:hAnsi="Cambria Math"/>
          </w:rPr>
          <m:t xml:space="preserve">.8</m:t>
        </m:r>
      </m:oMath>
      <w:r>
        <w:rPr/>
        <w:t xml:space="preserve"> as sufficient, </w:t>
      </w:r>
      <w:r>
        <w:rPr/>
      </w:r>
      <m:oMath xmlns:m="http://schemas.openxmlformats.org/officeDocument/2006/math">
        <m:r>
          <w:rPr>
            <w:rFonts w:ascii="Cambria Math" w:hAnsi="Cambria Math"/>
          </w:rPr>
          <m:t xml:space="preserve">.8</m:t>
        </m:r>
        <m:r>
          <w:rPr>
            <w:rFonts w:ascii="Cambria Math" w:hAnsi="Cambria Math"/>
          </w:rPr>
          <m:t xml:space="preserve">≤</m:t>
        </m:r>
      </m:oMath>
      <w:r>
        <w:rPr/>
        <w:t xml:space="preserve"> AUROC </w:t>
      </w:r>
      <w:r>
        <w:rPr/>
      </w:r>
      <m:oMath xmlns:m="http://schemas.openxmlformats.org/officeDocument/2006/math">
        <m:r>
          <w:rPr>
            <w:rFonts w:ascii="Cambria Math" w:hAnsi="Cambria Math"/>
          </w:rPr>
          <m:t xml:space="preserve">.9</m:t>
        </m:r>
      </m:oMath>
      <w:r>
        <w:rPr/>
        <w:t xml:space="preserve"> as good, and </w:t>
      </w:r>
      <w:r>
        <w:rPr/>
      </w:r>
      <m:oMath xmlns:m="http://schemas.openxmlformats.org/officeDocument/2006/math">
        <m:r>
          <w:rPr>
            <w:rFonts w:ascii="Cambria Math" w:hAnsi="Cambria Math"/>
          </w:rPr>
          <m:t xml:space="preserve">.9</m:t>
        </m:r>
        <m:r>
          <w:rPr>
            <w:rFonts w:ascii="Cambria Math" w:hAnsi="Cambria Math"/>
          </w:rPr>
          <m:t xml:space="preserve">≤</m:t>
        </m:r>
      </m:oMath>
      <w:r>
        <w:rPr/>
        <w:t xml:space="preserve"> AUROC </w:t>
      </w:r>
      <w:r>
        <w:rPr/>
      </w:r>
      <m:oMath xmlns:m="http://schemas.openxmlformats.org/officeDocument/2006/math">
        <m:r>
          <w:rPr>
            <w:rFonts w:ascii="Cambria Math" w:hAnsi="Cambria Math"/>
          </w:rPr>
          <m:t xml:space="preserve">≤</m:t>
        </m:r>
        <m:r>
          <w:rPr>
            <w:rFonts w:ascii="Cambria Math" w:hAnsi="Cambria Math"/>
          </w:rPr>
          <m:t xml:space="preserve">1</m:t>
        </m:r>
      </m:oMath>
      <w:r>
        <w:rPr/>
        <w:t xml:space="preserve"> as excellent.</w:t>
      </w:r>
    </w:p>
    <w:p>
      <w:pPr>
        <w:pStyle w:val="Heading2"/>
        <w:rPr/>
      </w:pPr>
      <w:bookmarkStart w:id="13" w:name="results"/>
      <w:bookmarkEnd w:id="13"/>
      <w:r>
        <w:rPr/>
        <w:t>Results</w:t>
      </w:r>
    </w:p>
    <w:p>
      <w:pPr>
        <w:pStyle w:val="FirstParagraph"/>
        <w:rPr/>
      </w:pPr>
      <w:r>
        <w:rPr/>
        <w:t>The collected data included 36 genuine data from Many Labs 1 (</w:t>
      </w:r>
      <w:hyperlink r:id="rId12">
        <w:r>
          <w:rPr>
            <w:rStyle w:val="InternetLink"/>
          </w:rPr>
          <w:t>https://osf.io/pqf9r</w:t>
        </w:r>
      </w:hyperlink>
      <w:r>
        <w:rPr/>
        <w:t>; Klein et al., 2014) and 39 fabricated datasets (</w:t>
      </w:r>
      <w:hyperlink r:id="rId13">
        <w:r>
          <w:rPr>
            <w:rStyle w:val="InternetLink"/>
          </w:rPr>
          <w:t>https://osf.io/e6zys</w:t>
        </w:r>
      </w:hyperlink>
      <w:r>
        <w:rPr/>
        <w:t>; 3 participants did not participate for a bonus).</w:t>
      </w:r>
    </w:p>
    <w:p>
      <w:pPr>
        <w:pStyle w:val="TextBody"/>
        <w:rPr/>
      </w:pPr>
      <w:r>
        <w:rPr/>
        <w:t xml:space="preserve">Figure 3 shows a group-level comparison of the genuine- and fabricated </w:t>
      </w:r>
      <w:r>
        <w:rPr/>
      </w:r>
      <m:oMath xmlns:m="http://schemas.openxmlformats.org/officeDocument/2006/math">
        <m:r>
          <w:rPr>
            <w:rFonts w:ascii="Cambria Math" w:hAnsi="Cambria Math"/>
          </w:rPr>
          <m:t xml:space="preserve">p</m:t>
        </m:r>
      </m:oMath>
      <w:r>
        <w:rPr/>
        <w:t>-values and effect sizes (</w:t>
      </w:r>
      <w:r>
        <w:rPr/>
      </w:r>
      <m:oMath xmlns:m="http://schemas.openxmlformats.org/officeDocument/2006/math">
        <m:r>
          <w:rPr>
            <w:rFonts w:ascii="Cambria Math" w:hAnsi="Cambria Math"/>
          </w:rPr>
          <m:t xml:space="preserve">r</m:t>
        </m:r>
      </m:oMath>
      <w:r>
        <w:rPr/>
        <w:t>). These group-level comparisons provide an overview of the differences between the genuine- and fabricated data (see also Akhtar-Danesh &amp; Dehghan-Kooshkghazi, 2003). These distributions indicate little group differences between genuine- and fabricated data when nonsignificant effects are inspected (i.e., gender and interaction hypotheses). However, there seem to be large group differences when we required subjects to fabricate significant data (i.e., condition hypothesis). Considering this, we also investigated how well effect sizes perform in detecting data fabrication (not preregistered). In the following sections, we investigate the performance of such statistical methods to detect data fabrication on an respondent-level basis.</w:t>
      </w:r>
    </w:p>
    <w:p>
      <w:pPr>
        <w:pStyle w:val="FigurewithCaption"/>
        <w:rPr/>
      </w:pPr>
      <w:r>
        <w:rPr/>
        <w:drawing>
          <wp:inline distT="0" distB="0" distL="114935" distR="114935">
            <wp:extent cx="4620260" cy="3696335"/>
            <wp:effectExtent l="0" t="0" r="0" b="0"/>
            <wp:docPr id="3" name="Image2" descr="Figure XX. Overlay of density distributions for both genuine and fabricated data, per effect and type of result. We instructed respondents to fabricate nonsignificant data for the gender and interaction effects, and a significant effect for the condition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XX. Overlay of density distributions for both genuine and fabricated data, per effect and type of result. We instructed respondents to fabricate nonsignificant data for the gender and interaction effects, and a significant effect for the condition effect."/>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pPr>
        <w:pStyle w:val="ImageCaption"/>
        <w:rPr/>
      </w:pPr>
      <w:r>
        <w:rPr>
          <w:i/>
        </w:rPr>
        <w:t>Figure XX.</w:t>
      </w:r>
      <w:r>
        <w:rPr/>
        <w:t xml:space="preserve"> Overlay of density distributions for both genuine and fabricated data, per effect and type of result. We instructed respondents to fabricate nonsignificant data for the gender and interaction effects, and a significant effect for the condition effect.</w:t>
      </w:r>
    </w:p>
    <w:p>
      <w:pPr>
        <w:pStyle w:val="Heading3"/>
        <w:rPr/>
      </w:pPr>
      <w:bookmarkStart w:id="14" w:name="performance-of-variance-analysis-to-detect-data-fabrication"/>
      <w:bookmarkEnd w:id="14"/>
      <w:r>
        <w:rPr/>
        <w:t>Performance of variance analysis to detect data fabrication</w:t>
      </w:r>
    </w:p>
    <w:p>
      <w:pPr>
        <w:pStyle w:val="FirstParagraph"/>
        <w:rPr/>
      </w:pPr>
      <w:r>
        <w:rPr/>
        <w:t xml:space="preserve">Table 1 indicates that both operationalizations (i.e.,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and </w:t>
      </w:r>
      <w:r>
        <w:rPr/>
      </w:r>
      <m:oMath xmlns:m="http://schemas.openxmlformats.org/officeDocument/2006/math">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show similar performance based on the AUROC. All in all, their performance ranges from 0.303 through 0.796. As such, there is considerable variation for the various applications of the variance analyses.</w:t>
      </w:r>
    </w:p>
    <w:p>
      <w:pPr>
        <w:pStyle w:val="TableCaption"/>
        <w:rPr/>
      </w:pPr>
      <w:r>
        <w:rPr>
          <w:i/>
        </w:rPr>
        <w:t>Table XX.</w:t>
      </w:r>
      <w:r>
        <w:rPr/>
        <w:t xml:space="preserve"> Diagnosticity of using variance analyses to detect data fabrication, depicted with the AUROC-value.</w:t>
      </w:r>
    </w:p>
    <w:tbl>
      <w:tblPr>
        <w:tblStyle w:val="TableNormal"/>
        <w:tblW w:w="864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Method</w:t>
            </w:r>
          </w:p>
        </w:tc>
        <w:tc>
          <w:tcPr>
            <w:tcW w:w="2880" w:type="dxa"/>
            <w:tcBorders>
              <w:bottom w:val="single" w:sz="6" w:space="0" w:color="000001"/>
              <w:insideH w:val="single" w:sz="6" w:space="0" w:color="000001"/>
            </w:tcBorders>
            <w:shd w:fill="auto" w:val="clear"/>
            <w:vAlign w:val="bottom"/>
          </w:tcPr>
          <w:p>
            <w:pPr>
              <w:pStyle w:val="Compact"/>
              <w:spacing w:before="36" w:after="36"/>
              <w:jc w:val="right"/>
              <w:rPr/>
            </w:pPr>
            <w:r>
              <w:rPr/>
              <w:t xml:space="preserve">AUROC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p>
        </w:tc>
        <w:tc>
          <w:tcPr>
            <w:tcW w:w="2880" w:type="dxa"/>
            <w:tcBorders>
              <w:bottom w:val="single" w:sz="6" w:space="0" w:color="000001"/>
              <w:insideH w:val="single" w:sz="6" w:space="0" w:color="000001"/>
            </w:tcBorders>
            <w:shd w:fill="auto" w:val="clear"/>
            <w:vAlign w:val="bottom"/>
          </w:tcPr>
          <w:p>
            <w:pPr>
              <w:pStyle w:val="Compact"/>
              <w:spacing w:before="36" w:after="36"/>
              <w:jc w:val="right"/>
              <w:rPr/>
            </w:pPr>
            <w:r>
              <w:rPr/>
              <w:t xml:space="preserve">AUROC </w:t>
            </w:r>
            <w:r>
              <w:rPr/>
            </w:r>
            <m:oMath xmlns:m="http://schemas.openxmlformats.org/officeDocument/2006/math">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p>
        </w:tc>
      </w:tr>
      <w:tr>
        <w:trPr/>
        <w:tc>
          <w:tcPr>
            <w:tcW w:w="2880" w:type="dxa"/>
            <w:tcBorders/>
            <w:shd w:fill="auto" w:val="clear"/>
          </w:tcPr>
          <w:p>
            <w:pPr>
              <w:pStyle w:val="Compact"/>
              <w:spacing w:before="36" w:after="36"/>
              <w:jc w:val="left"/>
              <w:rPr/>
            </w:pPr>
            <w:r>
              <w:rPr/>
              <w:t>Homogeneous, all studies combined</w:t>
            </w:r>
          </w:p>
        </w:tc>
        <w:tc>
          <w:tcPr>
            <w:tcW w:w="2880" w:type="dxa"/>
            <w:tcBorders/>
            <w:shd w:fill="auto" w:val="clear"/>
          </w:tcPr>
          <w:p>
            <w:pPr>
              <w:pStyle w:val="Compact"/>
              <w:spacing w:before="36" w:after="36"/>
              <w:jc w:val="right"/>
              <w:rPr/>
            </w:pPr>
            <w:r>
              <w:rPr/>
              <w:t>0.423</w:t>
            </w:r>
          </w:p>
        </w:tc>
        <w:tc>
          <w:tcPr>
            <w:tcW w:w="2880" w:type="dxa"/>
            <w:tcBorders/>
            <w:shd w:fill="auto" w:val="clear"/>
          </w:tcPr>
          <w:p>
            <w:pPr>
              <w:pStyle w:val="Compact"/>
              <w:spacing w:before="36" w:after="36"/>
              <w:jc w:val="right"/>
              <w:rPr/>
            </w:pPr>
            <w:r>
              <w:rPr/>
              <w:t>0.303</w:t>
            </w:r>
          </w:p>
        </w:tc>
      </w:tr>
      <w:tr>
        <w:trPr/>
        <w:tc>
          <w:tcPr>
            <w:tcW w:w="2880" w:type="dxa"/>
            <w:tcBorders/>
            <w:shd w:fill="auto" w:val="clear"/>
          </w:tcPr>
          <w:p>
            <w:pPr>
              <w:pStyle w:val="Compact"/>
              <w:spacing w:before="36" w:after="36"/>
              <w:jc w:val="left"/>
              <w:rPr/>
            </w:pPr>
            <w:r>
              <w:rPr/>
              <w:t>Homogeneous, study 1</w:t>
            </w:r>
          </w:p>
        </w:tc>
        <w:tc>
          <w:tcPr>
            <w:tcW w:w="2880" w:type="dxa"/>
            <w:tcBorders/>
            <w:shd w:fill="auto" w:val="clear"/>
          </w:tcPr>
          <w:p>
            <w:pPr>
              <w:pStyle w:val="Compact"/>
              <w:spacing w:before="36" w:after="36"/>
              <w:jc w:val="right"/>
              <w:rPr/>
            </w:pPr>
            <w:r>
              <w:rPr/>
              <w:t>0.367</w:t>
            </w:r>
          </w:p>
        </w:tc>
        <w:tc>
          <w:tcPr>
            <w:tcW w:w="2880" w:type="dxa"/>
            <w:tcBorders/>
            <w:shd w:fill="auto" w:val="clear"/>
          </w:tcPr>
          <w:p>
            <w:pPr>
              <w:pStyle w:val="Compact"/>
              <w:spacing w:before="36" w:after="36"/>
              <w:jc w:val="right"/>
              <w:rPr/>
            </w:pPr>
            <w:r>
              <w:rPr/>
              <w:t>0.374</w:t>
            </w:r>
          </w:p>
        </w:tc>
      </w:tr>
      <w:tr>
        <w:trPr/>
        <w:tc>
          <w:tcPr>
            <w:tcW w:w="2880" w:type="dxa"/>
            <w:tcBorders/>
            <w:shd w:fill="auto" w:val="clear"/>
          </w:tcPr>
          <w:p>
            <w:pPr>
              <w:pStyle w:val="Compact"/>
              <w:spacing w:before="36" w:after="36"/>
              <w:jc w:val="left"/>
              <w:rPr/>
            </w:pPr>
            <w:r>
              <w:rPr/>
              <w:t>Homogeneous, study 2</w:t>
            </w:r>
          </w:p>
        </w:tc>
        <w:tc>
          <w:tcPr>
            <w:tcW w:w="2880" w:type="dxa"/>
            <w:tcBorders/>
            <w:shd w:fill="auto" w:val="clear"/>
          </w:tcPr>
          <w:p>
            <w:pPr>
              <w:pStyle w:val="Compact"/>
              <w:spacing w:before="36" w:after="36"/>
              <w:jc w:val="right"/>
              <w:rPr/>
            </w:pPr>
            <w:r>
              <w:rPr/>
              <w:t>0.421</w:t>
            </w:r>
          </w:p>
        </w:tc>
        <w:tc>
          <w:tcPr>
            <w:tcW w:w="2880" w:type="dxa"/>
            <w:tcBorders/>
            <w:shd w:fill="auto" w:val="clear"/>
          </w:tcPr>
          <w:p>
            <w:pPr>
              <w:pStyle w:val="Compact"/>
              <w:spacing w:before="36" w:after="36"/>
              <w:jc w:val="right"/>
              <w:rPr/>
            </w:pPr>
            <w:r>
              <w:rPr/>
              <w:t>0.446</w:t>
            </w:r>
          </w:p>
        </w:tc>
      </w:tr>
      <w:tr>
        <w:trPr/>
        <w:tc>
          <w:tcPr>
            <w:tcW w:w="2880" w:type="dxa"/>
            <w:tcBorders/>
            <w:shd w:fill="auto" w:val="clear"/>
          </w:tcPr>
          <w:p>
            <w:pPr>
              <w:pStyle w:val="Compact"/>
              <w:spacing w:before="36" w:after="36"/>
              <w:jc w:val="left"/>
              <w:rPr/>
            </w:pPr>
            <w:r>
              <w:rPr/>
              <w:t>Homogeneous, study 3</w:t>
            </w:r>
          </w:p>
        </w:tc>
        <w:tc>
          <w:tcPr>
            <w:tcW w:w="2880" w:type="dxa"/>
            <w:tcBorders/>
            <w:shd w:fill="auto" w:val="clear"/>
          </w:tcPr>
          <w:p>
            <w:pPr>
              <w:pStyle w:val="Compact"/>
              <w:spacing w:before="36" w:after="36"/>
              <w:jc w:val="right"/>
              <w:rPr/>
            </w:pPr>
            <w:r>
              <w:rPr/>
              <w:t>0.510</w:t>
            </w:r>
          </w:p>
        </w:tc>
        <w:tc>
          <w:tcPr>
            <w:tcW w:w="2880" w:type="dxa"/>
            <w:tcBorders/>
            <w:shd w:fill="auto" w:val="clear"/>
          </w:tcPr>
          <w:p>
            <w:pPr>
              <w:pStyle w:val="Compact"/>
              <w:spacing w:before="36" w:after="36"/>
              <w:jc w:val="right"/>
              <w:rPr/>
            </w:pPr>
            <w:r>
              <w:rPr/>
              <w:t>0.520</w:t>
            </w:r>
          </w:p>
        </w:tc>
      </w:tr>
      <w:tr>
        <w:trPr/>
        <w:tc>
          <w:tcPr>
            <w:tcW w:w="2880" w:type="dxa"/>
            <w:tcBorders/>
            <w:shd w:fill="auto" w:val="clear"/>
          </w:tcPr>
          <w:p>
            <w:pPr>
              <w:pStyle w:val="Compact"/>
              <w:spacing w:before="36" w:after="36"/>
              <w:jc w:val="left"/>
              <w:rPr/>
            </w:pPr>
            <w:r>
              <w:rPr/>
              <w:t>Homogeneous, study 4</w:t>
            </w:r>
          </w:p>
        </w:tc>
        <w:tc>
          <w:tcPr>
            <w:tcW w:w="2880" w:type="dxa"/>
            <w:tcBorders/>
            <w:shd w:fill="auto" w:val="clear"/>
          </w:tcPr>
          <w:p>
            <w:pPr>
              <w:pStyle w:val="Compact"/>
              <w:spacing w:before="36" w:after="36"/>
              <w:jc w:val="right"/>
              <w:rPr/>
            </w:pPr>
            <w:r>
              <w:rPr/>
              <w:t>0.540</w:t>
            </w:r>
          </w:p>
        </w:tc>
        <w:tc>
          <w:tcPr>
            <w:tcW w:w="2880" w:type="dxa"/>
            <w:tcBorders/>
            <w:shd w:fill="auto" w:val="clear"/>
          </w:tcPr>
          <w:p>
            <w:pPr>
              <w:pStyle w:val="Compact"/>
              <w:spacing w:before="36" w:after="36"/>
              <w:jc w:val="right"/>
              <w:rPr/>
            </w:pPr>
            <w:r>
              <w:rPr/>
              <w:t>0.542</w:t>
            </w:r>
          </w:p>
        </w:tc>
      </w:tr>
      <w:tr>
        <w:trPr/>
        <w:tc>
          <w:tcPr>
            <w:tcW w:w="2880" w:type="dxa"/>
            <w:tcBorders/>
            <w:shd w:fill="auto" w:val="clear"/>
          </w:tcPr>
          <w:p>
            <w:pPr>
              <w:pStyle w:val="Compact"/>
              <w:spacing w:before="36" w:after="36"/>
              <w:jc w:val="left"/>
              <w:rPr/>
            </w:pPr>
            <w:r>
              <w:rPr/>
              <w:t>Heterogeneous, all studies combined</w:t>
            </w:r>
          </w:p>
        </w:tc>
        <w:tc>
          <w:tcPr>
            <w:tcW w:w="2880" w:type="dxa"/>
            <w:tcBorders/>
            <w:shd w:fill="auto" w:val="clear"/>
          </w:tcPr>
          <w:p>
            <w:pPr>
              <w:pStyle w:val="Compact"/>
              <w:spacing w:before="36" w:after="36"/>
              <w:jc w:val="right"/>
              <w:rPr/>
            </w:pPr>
            <w:r>
              <w:rPr/>
              <w:t>0.770</w:t>
            </w:r>
          </w:p>
        </w:tc>
        <w:tc>
          <w:tcPr>
            <w:tcW w:w="2880" w:type="dxa"/>
            <w:tcBorders/>
            <w:shd w:fill="auto" w:val="clear"/>
          </w:tcPr>
          <w:p>
            <w:pPr>
              <w:pStyle w:val="Compact"/>
              <w:spacing w:before="36" w:after="36"/>
              <w:jc w:val="right"/>
              <w:rPr/>
            </w:pPr>
            <w:r>
              <w:rPr/>
              <w:t>0.758</w:t>
            </w:r>
          </w:p>
        </w:tc>
      </w:tr>
      <w:tr>
        <w:trPr/>
        <w:tc>
          <w:tcPr>
            <w:tcW w:w="2880" w:type="dxa"/>
            <w:tcBorders/>
            <w:shd w:fill="auto" w:val="clear"/>
          </w:tcPr>
          <w:p>
            <w:pPr>
              <w:pStyle w:val="Compact"/>
              <w:spacing w:before="36" w:after="36"/>
              <w:jc w:val="left"/>
              <w:rPr/>
            </w:pPr>
            <w:r>
              <w:rPr/>
              <w:t>Heterogeneous study 1, low anchor condition</w:t>
            </w:r>
          </w:p>
        </w:tc>
        <w:tc>
          <w:tcPr>
            <w:tcW w:w="2880" w:type="dxa"/>
            <w:tcBorders/>
            <w:shd w:fill="auto" w:val="clear"/>
          </w:tcPr>
          <w:p>
            <w:pPr>
              <w:pStyle w:val="Compact"/>
              <w:spacing w:before="36" w:after="36"/>
              <w:jc w:val="right"/>
              <w:rPr/>
            </w:pPr>
            <w:r>
              <w:rPr/>
              <w:t>0.644</w:t>
            </w:r>
          </w:p>
        </w:tc>
        <w:tc>
          <w:tcPr>
            <w:tcW w:w="2880" w:type="dxa"/>
            <w:tcBorders/>
            <w:shd w:fill="auto" w:val="clear"/>
          </w:tcPr>
          <w:p>
            <w:pPr>
              <w:pStyle w:val="Compact"/>
              <w:spacing w:before="36" w:after="36"/>
              <w:jc w:val="right"/>
              <w:rPr/>
            </w:pPr>
            <w:r>
              <w:rPr/>
              <w:t>0.644</w:t>
            </w:r>
          </w:p>
        </w:tc>
      </w:tr>
      <w:tr>
        <w:trPr/>
        <w:tc>
          <w:tcPr>
            <w:tcW w:w="2880" w:type="dxa"/>
            <w:tcBorders/>
            <w:shd w:fill="auto" w:val="clear"/>
          </w:tcPr>
          <w:p>
            <w:pPr>
              <w:pStyle w:val="Compact"/>
              <w:spacing w:before="36" w:after="36"/>
              <w:jc w:val="left"/>
              <w:rPr/>
            </w:pPr>
            <w:r>
              <w:rPr/>
              <w:t>Heterogeneous study 1, high anchor condition</w:t>
            </w:r>
          </w:p>
        </w:tc>
        <w:tc>
          <w:tcPr>
            <w:tcW w:w="2880" w:type="dxa"/>
            <w:tcBorders/>
            <w:shd w:fill="auto" w:val="clear"/>
          </w:tcPr>
          <w:p>
            <w:pPr>
              <w:pStyle w:val="Compact"/>
              <w:spacing w:before="36" w:after="36"/>
              <w:jc w:val="right"/>
              <w:rPr/>
            </w:pPr>
            <w:r>
              <w:rPr/>
              <w:t>0.438</w:t>
            </w:r>
          </w:p>
        </w:tc>
        <w:tc>
          <w:tcPr>
            <w:tcW w:w="2880" w:type="dxa"/>
            <w:tcBorders/>
            <w:shd w:fill="auto" w:val="clear"/>
          </w:tcPr>
          <w:p>
            <w:pPr>
              <w:pStyle w:val="Compact"/>
              <w:spacing w:before="36" w:after="36"/>
              <w:jc w:val="right"/>
              <w:rPr/>
            </w:pPr>
            <w:r>
              <w:rPr/>
              <w:t>0.438</w:t>
            </w:r>
          </w:p>
        </w:tc>
      </w:tr>
      <w:tr>
        <w:trPr/>
        <w:tc>
          <w:tcPr>
            <w:tcW w:w="2880" w:type="dxa"/>
            <w:tcBorders/>
            <w:shd w:fill="auto" w:val="clear"/>
          </w:tcPr>
          <w:p>
            <w:pPr>
              <w:pStyle w:val="Compact"/>
              <w:spacing w:before="36" w:after="36"/>
              <w:jc w:val="left"/>
              <w:rPr/>
            </w:pPr>
            <w:r>
              <w:rPr/>
              <w:t>Heterogeneous study 2, low anchor condition</w:t>
            </w:r>
          </w:p>
        </w:tc>
        <w:tc>
          <w:tcPr>
            <w:tcW w:w="2880" w:type="dxa"/>
            <w:tcBorders/>
            <w:shd w:fill="auto" w:val="clear"/>
          </w:tcPr>
          <w:p>
            <w:pPr>
              <w:pStyle w:val="Compact"/>
              <w:spacing w:before="36" w:after="36"/>
              <w:jc w:val="right"/>
              <w:rPr/>
            </w:pPr>
            <w:r>
              <w:rPr/>
              <w:t>0.750</w:t>
            </w:r>
          </w:p>
        </w:tc>
        <w:tc>
          <w:tcPr>
            <w:tcW w:w="2880" w:type="dxa"/>
            <w:tcBorders/>
            <w:shd w:fill="auto" w:val="clear"/>
          </w:tcPr>
          <w:p>
            <w:pPr>
              <w:pStyle w:val="Compact"/>
              <w:spacing w:before="36" w:after="36"/>
              <w:jc w:val="right"/>
              <w:rPr/>
            </w:pPr>
            <w:r>
              <w:rPr/>
              <w:t>0.750</w:t>
            </w:r>
          </w:p>
        </w:tc>
      </w:tr>
      <w:tr>
        <w:trPr/>
        <w:tc>
          <w:tcPr>
            <w:tcW w:w="2880" w:type="dxa"/>
            <w:tcBorders/>
            <w:shd w:fill="auto" w:val="clear"/>
          </w:tcPr>
          <w:p>
            <w:pPr>
              <w:pStyle w:val="Compact"/>
              <w:spacing w:before="36" w:after="36"/>
              <w:jc w:val="left"/>
              <w:rPr/>
            </w:pPr>
            <w:r>
              <w:rPr/>
              <w:t>Heterogeneous study 2, high anchor condition</w:t>
            </w:r>
          </w:p>
        </w:tc>
        <w:tc>
          <w:tcPr>
            <w:tcW w:w="2880" w:type="dxa"/>
            <w:tcBorders/>
            <w:shd w:fill="auto" w:val="clear"/>
          </w:tcPr>
          <w:p>
            <w:pPr>
              <w:pStyle w:val="Compact"/>
              <w:spacing w:before="36" w:after="36"/>
              <w:jc w:val="right"/>
              <w:rPr/>
            </w:pPr>
            <w:r>
              <w:rPr/>
              <w:t>0.614</w:t>
            </w:r>
          </w:p>
        </w:tc>
        <w:tc>
          <w:tcPr>
            <w:tcW w:w="2880" w:type="dxa"/>
            <w:tcBorders/>
            <w:shd w:fill="auto" w:val="clear"/>
          </w:tcPr>
          <w:p>
            <w:pPr>
              <w:pStyle w:val="Compact"/>
              <w:spacing w:before="36" w:after="36"/>
              <w:jc w:val="right"/>
              <w:rPr/>
            </w:pPr>
            <w:r>
              <w:rPr/>
              <w:t>0.614</w:t>
            </w:r>
          </w:p>
        </w:tc>
      </w:tr>
      <w:tr>
        <w:trPr/>
        <w:tc>
          <w:tcPr>
            <w:tcW w:w="2880" w:type="dxa"/>
            <w:tcBorders/>
            <w:shd w:fill="auto" w:val="clear"/>
          </w:tcPr>
          <w:p>
            <w:pPr>
              <w:pStyle w:val="Compact"/>
              <w:spacing w:before="36" w:after="36"/>
              <w:jc w:val="left"/>
              <w:rPr/>
            </w:pPr>
            <w:r>
              <w:rPr/>
              <w:t>Heterogeneous study 3, low anchor condition</w:t>
            </w:r>
          </w:p>
        </w:tc>
        <w:tc>
          <w:tcPr>
            <w:tcW w:w="2880" w:type="dxa"/>
            <w:tcBorders/>
            <w:shd w:fill="auto" w:val="clear"/>
          </w:tcPr>
          <w:p>
            <w:pPr>
              <w:pStyle w:val="Compact"/>
              <w:spacing w:before="36" w:after="36"/>
              <w:jc w:val="right"/>
              <w:rPr/>
            </w:pPr>
            <w:r>
              <w:rPr/>
              <w:t>0.667</w:t>
            </w:r>
          </w:p>
        </w:tc>
        <w:tc>
          <w:tcPr>
            <w:tcW w:w="2880" w:type="dxa"/>
            <w:tcBorders/>
            <w:shd w:fill="auto" w:val="clear"/>
          </w:tcPr>
          <w:p>
            <w:pPr>
              <w:pStyle w:val="Compact"/>
              <w:spacing w:before="36" w:after="36"/>
              <w:jc w:val="right"/>
              <w:rPr/>
            </w:pPr>
            <w:r>
              <w:rPr/>
              <w:t>0.667</w:t>
            </w:r>
          </w:p>
        </w:tc>
      </w:tr>
      <w:tr>
        <w:trPr/>
        <w:tc>
          <w:tcPr>
            <w:tcW w:w="2880" w:type="dxa"/>
            <w:tcBorders/>
            <w:shd w:fill="auto" w:val="clear"/>
          </w:tcPr>
          <w:p>
            <w:pPr>
              <w:pStyle w:val="Compact"/>
              <w:spacing w:before="36" w:after="36"/>
              <w:jc w:val="left"/>
              <w:rPr/>
            </w:pPr>
            <w:r>
              <w:rPr/>
              <w:t>Heterogeneous study 3, high anchor condition</w:t>
            </w:r>
          </w:p>
        </w:tc>
        <w:tc>
          <w:tcPr>
            <w:tcW w:w="2880" w:type="dxa"/>
            <w:tcBorders/>
            <w:shd w:fill="auto" w:val="clear"/>
          </w:tcPr>
          <w:p>
            <w:pPr>
              <w:pStyle w:val="Compact"/>
              <w:spacing w:before="36" w:after="36"/>
              <w:jc w:val="right"/>
              <w:rPr/>
            </w:pPr>
            <w:r>
              <w:rPr/>
              <w:t>0.650</w:t>
            </w:r>
          </w:p>
        </w:tc>
        <w:tc>
          <w:tcPr>
            <w:tcW w:w="2880" w:type="dxa"/>
            <w:tcBorders/>
            <w:shd w:fill="auto" w:val="clear"/>
          </w:tcPr>
          <w:p>
            <w:pPr>
              <w:pStyle w:val="Compact"/>
              <w:spacing w:before="36" w:after="36"/>
              <w:jc w:val="right"/>
              <w:rPr/>
            </w:pPr>
            <w:r>
              <w:rPr/>
              <w:t>0.650</w:t>
            </w:r>
          </w:p>
        </w:tc>
      </w:tr>
      <w:tr>
        <w:trPr/>
        <w:tc>
          <w:tcPr>
            <w:tcW w:w="2880" w:type="dxa"/>
            <w:tcBorders/>
            <w:shd w:fill="auto" w:val="clear"/>
          </w:tcPr>
          <w:p>
            <w:pPr>
              <w:pStyle w:val="Compact"/>
              <w:spacing w:before="36" w:after="36"/>
              <w:jc w:val="left"/>
              <w:rPr/>
            </w:pPr>
            <w:r>
              <w:rPr/>
              <w:t>Heterogeneous study 4, low anchor condition</w:t>
            </w:r>
          </w:p>
        </w:tc>
        <w:tc>
          <w:tcPr>
            <w:tcW w:w="2880" w:type="dxa"/>
            <w:tcBorders/>
            <w:shd w:fill="auto" w:val="clear"/>
          </w:tcPr>
          <w:p>
            <w:pPr>
              <w:pStyle w:val="Compact"/>
              <w:spacing w:before="36" w:after="36"/>
              <w:jc w:val="right"/>
              <w:rPr/>
            </w:pPr>
            <w:r>
              <w:rPr/>
              <w:t>0.796</w:t>
            </w:r>
          </w:p>
        </w:tc>
        <w:tc>
          <w:tcPr>
            <w:tcW w:w="2880" w:type="dxa"/>
            <w:tcBorders/>
            <w:shd w:fill="auto" w:val="clear"/>
          </w:tcPr>
          <w:p>
            <w:pPr>
              <w:pStyle w:val="Compact"/>
              <w:spacing w:before="36" w:after="36"/>
              <w:jc w:val="right"/>
              <w:rPr/>
            </w:pPr>
            <w:r>
              <w:rPr/>
              <w:t>0.796</w:t>
            </w:r>
          </w:p>
        </w:tc>
      </w:tr>
      <w:tr>
        <w:trPr/>
        <w:tc>
          <w:tcPr>
            <w:tcW w:w="2880" w:type="dxa"/>
            <w:tcBorders/>
            <w:shd w:fill="auto" w:val="clear"/>
          </w:tcPr>
          <w:p>
            <w:pPr>
              <w:pStyle w:val="Compact"/>
              <w:spacing w:before="36" w:after="36"/>
              <w:jc w:val="left"/>
              <w:rPr/>
            </w:pPr>
            <w:r>
              <w:rPr/>
              <w:t>Heterogeneous study 4, high anchor condition</w:t>
            </w:r>
          </w:p>
        </w:tc>
        <w:tc>
          <w:tcPr>
            <w:tcW w:w="2880" w:type="dxa"/>
            <w:tcBorders/>
            <w:shd w:fill="auto" w:val="clear"/>
          </w:tcPr>
          <w:p>
            <w:pPr>
              <w:pStyle w:val="Compact"/>
              <w:spacing w:before="36" w:after="36"/>
              <w:jc w:val="right"/>
              <w:rPr/>
            </w:pPr>
            <w:r>
              <w:rPr/>
              <w:t>0.556</w:t>
            </w:r>
          </w:p>
        </w:tc>
        <w:tc>
          <w:tcPr>
            <w:tcW w:w="2880" w:type="dxa"/>
            <w:tcBorders/>
            <w:shd w:fill="auto" w:val="clear"/>
          </w:tcPr>
          <w:p>
            <w:pPr>
              <w:pStyle w:val="Compact"/>
              <w:spacing w:before="36" w:after="36"/>
              <w:jc w:val="right"/>
              <w:rPr/>
            </w:pPr>
            <w:r>
              <w:rPr/>
              <w:t>0.556</w:t>
            </w:r>
          </w:p>
        </w:tc>
      </w:tr>
    </w:tbl>
    <w:p>
      <w:pPr>
        <w:pStyle w:val="TextBody"/>
        <w:rPr/>
      </w:pPr>
      <w:r>
        <w:rPr/>
        <w:t>Combining the variance analyses across the different studies improves performance. This is as expected, considering that the sample size increases for the analyses (i.e., more reported variances are included) and that causes an increase in the statistical power to detect data fabrication.</w:t>
      </w:r>
    </w:p>
    <w:p>
      <w:pPr>
        <w:pStyle w:val="TextBody"/>
        <w:rPr/>
      </w:pPr>
      <w:r>
        <w:rPr/>
        <w:t xml:space="preserve">More notably, combining the studies and taking the heterogeneous approach (i.e., separating anchoring conditions) greatly increases the performance to detect data fabrication considerably. Where the AUROC under homogeneous variances for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r>
          <w:rPr>
            <w:rFonts w:ascii="Cambria Math" w:hAnsi="Cambria Math"/>
          </w:rPr>
          <m:t xml:space="preserve">=</m:t>
        </m:r>
        <m:r>
          <w:rPr>
            <w:rFonts w:ascii="Cambria Math" w:hAnsi="Cambria Math"/>
          </w:rPr>
          <m:t xml:space="preserve">0.423</m:t>
        </m:r>
      </m:oMath>
      <w:r>
        <w:rPr/>
        <w:t xml:space="preserve"> (</w:t>
      </w:r>
      <w:r>
        <w:rPr/>
      </w:r>
      <m:oMath xmlns:m="http://schemas.openxmlformats.org/officeDocument/2006/math">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r>
          <w:rPr>
            <w:rFonts w:ascii="Cambria Math" w:hAnsi="Cambria Math"/>
          </w:rPr>
          <m:t xml:space="preserve">=</m:t>
        </m:r>
        <m:r>
          <w:rPr>
            <w:rFonts w:ascii="Cambria Math" w:hAnsi="Cambria Math"/>
          </w:rPr>
          <m:t xml:space="preserve">0.303</m:t>
        </m:r>
      </m:oMath>
      <w:r>
        <w:rPr/>
        <w:t xml:space="preserve">), under heterogeneous variances it increases to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r>
          <w:rPr>
            <w:rFonts w:ascii="Cambria Math" w:hAnsi="Cambria Math"/>
          </w:rPr>
          <m:t xml:space="preserve">=</m:t>
        </m:r>
        <m:r>
          <w:rPr>
            <w:rFonts w:ascii="Cambria Math" w:hAnsi="Cambria Math"/>
          </w:rPr>
          <m:t xml:space="preserve">0.77</m:t>
        </m:r>
      </m:oMath>
      <w:r>
        <w:rPr/>
        <w:t xml:space="preserve"> (</w:t>
      </w:r>
      <w:r>
        <w:rPr/>
      </w:r>
      <m:oMath xmlns:m="http://schemas.openxmlformats.org/officeDocument/2006/math">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r>
          <w:rPr>
            <w:rFonts w:ascii="Cambria Math" w:hAnsi="Cambria Math"/>
          </w:rPr>
          <m:t xml:space="preserve">=</m:t>
        </m:r>
        <m:r>
          <w:rPr>
            <w:rFonts w:ascii="Cambria Math" w:hAnsi="Cambria Math"/>
          </w:rPr>
          <m:t xml:space="preserve">0.758</m:t>
        </m:r>
      </m:oMath>
      <w:r>
        <w:rPr/>
        <w:t xml:space="preserve">). Further inspecting the heterogeneous variance of variances analysis indicates that no false positives occur until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0.13</m:t>
        </m:r>
      </m:oMath>
      <w:r>
        <w:rPr/>
        <w:t>, making this the optimal alpha level based on this sample (but note the small sample).</w:t>
      </w:r>
    </w:p>
    <w:p>
      <w:pPr>
        <w:pStyle w:val="Heading3"/>
        <w:rPr/>
      </w:pPr>
      <w:bookmarkStart w:id="15" w:name="performance-of-p-values-analysis-to-detect-data-fabrication"/>
      <w:bookmarkEnd w:id="15"/>
      <w:r>
        <w:rPr/>
        <w:t xml:space="preserve">Performance of </w:t>
      </w:r>
      <w:r>
        <w:rPr/>
      </w:r>
      <m:oMath xmlns:m="http://schemas.openxmlformats.org/officeDocument/2006/math">
        <m:r>
          <w:rPr>
            <w:rFonts w:ascii="Cambria Math" w:hAnsi="Cambria Math"/>
          </w:rPr>
          <m:t xml:space="preserve">p</m:t>
        </m:r>
      </m:oMath>
      <w:r>
        <w:rPr/>
        <w:t>-values analysis to detect data fabrication</w:t>
      </w:r>
    </w:p>
    <w:p>
      <w:pPr>
        <w:pStyle w:val="FirstParagraph"/>
        <w:rPr/>
      </w:pPr>
      <w:r>
        <w:rPr/>
        <w:t xml:space="preserve">Table 2 indicates that methods using nonsignificant </w:t>
      </w:r>
      <w:r>
        <w:rPr/>
      </w:r>
      <m:oMath xmlns:m="http://schemas.openxmlformats.org/officeDocument/2006/math">
        <m:r>
          <w:rPr>
            <w:rFonts w:ascii="Cambria Math" w:hAnsi="Cambria Math"/>
          </w:rPr>
          <m:t xml:space="preserve">p</m:t>
        </m:r>
      </m:oMath>
      <w:r>
        <w:rPr/>
        <w:t xml:space="preserve">-values to detect data fabrication are hardly better than chance level in the current sample. We asked researchers to fabricate data for nonsignificant effect sizes, thinking they might be unable to produce uniformly distributed </w:t>
      </w:r>
      <w:r>
        <w:rPr/>
      </w:r>
      <m:oMath xmlns:m="http://schemas.openxmlformats.org/officeDocument/2006/math">
        <m:r>
          <w:rPr>
            <w:rFonts w:ascii="Cambria Math" w:hAnsi="Cambria Math"/>
          </w:rPr>
          <m:t xml:space="preserve">p</m:t>
        </m:r>
      </m:oMath>
      <w:r>
        <w:rPr/>
        <w:t>-values. However, these results (and the density plot in Figure XX) indicate that widespread detection based on this is not promising.</w:t>
      </w:r>
    </w:p>
    <w:p>
      <w:pPr>
        <w:pStyle w:val="TableCaption"/>
        <w:rPr/>
      </w:pPr>
      <w:r>
        <w:rPr>
          <w:i/>
        </w:rPr>
        <w:t>Table XX.</w:t>
      </w:r>
      <w:r>
        <w:rPr/>
        <w:t xml:space="preserve"> Diagnosticity of using </w:t>
      </w:r>
      <w:r>
        <w:rPr/>
      </w:r>
      <m:oMath xmlns:m="http://schemas.openxmlformats.org/officeDocument/2006/math">
        <m:r>
          <w:rPr>
            <w:rFonts w:ascii="Cambria Math" w:hAnsi="Cambria Math"/>
          </w:rPr>
          <m:t xml:space="preserve">p</m:t>
        </m:r>
      </m:oMath>
      <w:r>
        <w:rPr/>
        <w:t>-value analyses to detect data fabrication, depicted with the AUROC-value.</w:t>
      </w:r>
    </w:p>
    <w:tbl>
      <w:tblPr>
        <w:tblStyle w:val="TableNormal"/>
        <w:tblW w:w="864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Method</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AUROC</w:t>
            </w:r>
          </w:p>
        </w:tc>
      </w:tr>
      <w:tr>
        <w:trPr/>
        <w:tc>
          <w:tcPr>
            <w:tcW w:w="4319" w:type="dxa"/>
            <w:tcBorders/>
            <w:shd w:fill="auto" w:val="clear"/>
          </w:tcPr>
          <w:p>
            <w:pPr>
              <w:pStyle w:val="Compact"/>
              <w:spacing w:before="36" w:after="36"/>
              <w:jc w:val="left"/>
              <w:rPr/>
            </w:pPr>
            <w:r>
              <w:rPr/>
              <w:t>Reversed Fisher method gender hypothesis</w:t>
            </w:r>
          </w:p>
        </w:tc>
        <w:tc>
          <w:tcPr>
            <w:tcW w:w="4320" w:type="dxa"/>
            <w:tcBorders/>
            <w:shd w:fill="auto" w:val="clear"/>
          </w:tcPr>
          <w:p>
            <w:pPr>
              <w:pStyle w:val="Compact"/>
              <w:spacing w:before="36" w:after="36"/>
              <w:jc w:val="right"/>
              <w:rPr/>
            </w:pPr>
            <w:r>
              <w:rPr/>
              <w:t>0.521</w:t>
            </w:r>
          </w:p>
        </w:tc>
      </w:tr>
      <w:tr>
        <w:trPr/>
        <w:tc>
          <w:tcPr>
            <w:tcW w:w="4319" w:type="dxa"/>
            <w:tcBorders/>
            <w:shd w:fill="auto" w:val="clear"/>
          </w:tcPr>
          <w:p>
            <w:pPr>
              <w:pStyle w:val="Compact"/>
              <w:spacing w:before="36" w:after="36"/>
              <w:jc w:val="left"/>
              <w:rPr/>
            </w:pPr>
            <w:r>
              <w:rPr/>
              <w:t>Reversed Fisher method interaction hypothesis</w:t>
            </w:r>
          </w:p>
        </w:tc>
        <w:tc>
          <w:tcPr>
            <w:tcW w:w="4320" w:type="dxa"/>
            <w:tcBorders/>
            <w:shd w:fill="auto" w:val="clear"/>
          </w:tcPr>
          <w:p>
            <w:pPr>
              <w:pStyle w:val="Compact"/>
              <w:spacing w:before="36" w:after="36"/>
              <w:jc w:val="right"/>
              <w:rPr/>
            </w:pPr>
            <w:r>
              <w:rPr/>
              <w:t>0.535</w:t>
            </w:r>
          </w:p>
        </w:tc>
      </w:tr>
    </w:tbl>
    <w:p>
      <w:pPr>
        <w:pStyle w:val="Heading3"/>
        <w:rPr/>
      </w:pPr>
      <w:bookmarkStart w:id="16" w:name="performance-of-combining-variance--and-p-value-analyis-to-detect-data-fabrication"/>
      <w:bookmarkEnd w:id="16"/>
      <w:r>
        <w:rPr/>
        <w:t xml:space="preserve">Performance of combining variance- and </w:t>
      </w:r>
      <w:r>
        <w:rPr/>
      </w:r>
      <m:oMath xmlns:m="http://schemas.openxmlformats.org/officeDocument/2006/math">
        <m:r>
          <w:rPr>
            <w:rFonts w:ascii="Cambria Math" w:hAnsi="Cambria Math"/>
          </w:rPr>
          <m:t xml:space="preserve">p</m:t>
        </m:r>
      </m:oMath>
      <w:r>
        <w:rPr/>
        <w:t>-value analyis to detect data fabrication</w:t>
      </w:r>
    </w:p>
    <w:p>
      <w:pPr>
        <w:pStyle w:val="FirstParagraph"/>
        <w:rPr/>
      </w:pPr>
      <w:r>
        <w:rPr/>
        <w:t xml:space="preserve">Table 3 indicates that combining the variance- and </w:t>
      </w:r>
      <w:r>
        <w:rPr/>
      </w:r>
      <m:oMath xmlns:m="http://schemas.openxmlformats.org/officeDocument/2006/math">
        <m:r>
          <w:rPr>
            <w:rFonts w:ascii="Cambria Math" w:hAnsi="Cambria Math"/>
          </w:rPr>
          <m:t xml:space="preserve">p</m:t>
        </m:r>
      </m:oMath>
      <w:r>
        <w:rPr/>
        <w:t xml:space="preserve">-value methods provides little beyond the methods separately. The overall performance of this combination is driven by the variance analyses, given that the </w:t>
      </w:r>
      <w:r>
        <w:rPr/>
      </w:r>
      <m:oMath xmlns:m="http://schemas.openxmlformats.org/officeDocument/2006/math">
        <m:r>
          <w:rPr>
            <w:rFonts w:ascii="Cambria Math" w:hAnsi="Cambria Math"/>
          </w:rPr>
          <m:t xml:space="preserve">p</m:t>
        </m:r>
      </m:oMath>
      <w:r>
        <w:rPr/>
        <w:t xml:space="preserve">-value analysis yields little more than chance classification. When combining the results from variance analyses per anchoring condition (i.e., 10 results,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heterogeneous) and the </w:t>
      </w:r>
      <w:r>
        <w:rPr/>
      </w:r>
      <m:oMath xmlns:m="http://schemas.openxmlformats.org/officeDocument/2006/math">
        <m:r>
          <w:rPr>
            <w:rFonts w:ascii="Cambria Math" w:hAnsi="Cambria Math"/>
          </w:rPr>
          <m:t xml:space="preserve">p</m:t>
        </m:r>
      </m:oMath>
      <w:r>
        <w:rPr/>
        <w:t xml:space="preserve">-value analyses, a minor improvement occurs over the heterogeneous variance analysis (all studies combined,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0.77</m:t>
        </m:r>
      </m:oMath>
      <w:r>
        <w:rPr/>
        <w:t>). However, this difference is negligible and potentially due to sampling error.</w:t>
      </w:r>
    </w:p>
    <w:p>
      <w:pPr>
        <w:pStyle w:val="TableCaption"/>
        <w:rPr/>
      </w:pPr>
      <w:r>
        <w:rPr>
          <w:i/>
        </w:rPr>
        <w:t>Table XX.</w:t>
      </w:r>
      <w:r>
        <w:rPr/>
        <w:t xml:space="preserve"> Diagnosticity of combining variance- and </w:t>
      </w:r>
      <w:r>
        <w:rPr/>
      </w:r>
      <m:oMath xmlns:m="http://schemas.openxmlformats.org/officeDocument/2006/math">
        <m:r>
          <w:rPr>
            <w:rFonts w:ascii="Cambria Math" w:hAnsi="Cambria Math"/>
          </w:rPr>
          <m:t xml:space="preserve">p</m:t>
        </m:r>
      </m:oMath>
      <w:r>
        <w:rPr/>
        <w:t>-value analyses to detect data fabrication, depicted with the AUROC-value.</w:t>
      </w:r>
    </w:p>
    <w:tbl>
      <w:tblPr>
        <w:tblStyle w:val="TableNormal"/>
        <w:tblW w:w="864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Method</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AUROC</w:t>
            </w:r>
          </w:p>
        </w:tc>
      </w:tr>
      <w:tr>
        <w:trPr/>
        <w:tc>
          <w:tcPr>
            <w:tcW w:w="4319" w:type="dxa"/>
            <w:tcBorders/>
            <w:shd w:fill="auto" w:val="clear"/>
          </w:tcPr>
          <w:p>
            <w:pPr>
              <w:pStyle w:val="Compact"/>
              <w:spacing w:before="36" w:after="36"/>
              <w:jc w:val="left"/>
              <w:rPr/>
            </w:pPr>
            <w:r>
              <w:rPr/>
              <w:t xml:space="preserve">Combined Fisher test (3 results,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homogeneous)</w:t>
            </w:r>
          </w:p>
        </w:tc>
        <w:tc>
          <w:tcPr>
            <w:tcW w:w="4320" w:type="dxa"/>
            <w:tcBorders/>
            <w:shd w:fill="auto" w:val="clear"/>
          </w:tcPr>
          <w:p>
            <w:pPr>
              <w:pStyle w:val="Compact"/>
              <w:spacing w:before="36" w:after="36"/>
              <w:jc w:val="right"/>
              <w:rPr/>
            </w:pPr>
            <w:r>
              <w:rPr/>
              <w:t>0.602</w:t>
            </w:r>
          </w:p>
        </w:tc>
      </w:tr>
      <w:tr>
        <w:trPr/>
        <w:tc>
          <w:tcPr>
            <w:tcW w:w="4319" w:type="dxa"/>
            <w:tcBorders/>
            <w:shd w:fill="auto" w:val="clear"/>
          </w:tcPr>
          <w:p>
            <w:pPr>
              <w:pStyle w:val="Compact"/>
              <w:spacing w:before="36" w:after="36"/>
              <w:jc w:val="left"/>
              <w:rPr/>
            </w:pPr>
            <w:r>
              <w:rPr/>
              <w:t xml:space="preserve">Combined Fisher test (3 results,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heterogeneous)</w:t>
            </w:r>
          </w:p>
        </w:tc>
        <w:tc>
          <w:tcPr>
            <w:tcW w:w="4320" w:type="dxa"/>
            <w:tcBorders/>
            <w:shd w:fill="auto" w:val="clear"/>
          </w:tcPr>
          <w:p>
            <w:pPr>
              <w:pStyle w:val="Compact"/>
              <w:spacing w:before="36" w:after="36"/>
              <w:jc w:val="right"/>
              <w:rPr/>
            </w:pPr>
            <w:r>
              <w:rPr/>
              <w:t>0.736</w:t>
            </w:r>
          </w:p>
        </w:tc>
      </w:tr>
      <w:tr>
        <w:trPr/>
        <w:tc>
          <w:tcPr>
            <w:tcW w:w="4319" w:type="dxa"/>
            <w:tcBorders/>
            <w:shd w:fill="auto" w:val="clear"/>
          </w:tcPr>
          <w:p>
            <w:pPr>
              <w:pStyle w:val="Compact"/>
              <w:spacing w:before="36" w:after="36"/>
              <w:jc w:val="left"/>
              <w:rPr/>
            </w:pPr>
            <w:r>
              <w:rPr/>
              <w:t xml:space="preserve">Combined Fisher test (6 results,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homogeneous)</w:t>
            </w:r>
          </w:p>
        </w:tc>
        <w:tc>
          <w:tcPr>
            <w:tcW w:w="4320" w:type="dxa"/>
            <w:tcBorders/>
            <w:shd w:fill="auto" w:val="clear"/>
          </w:tcPr>
          <w:p>
            <w:pPr>
              <w:pStyle w:val="Compact"/>
              <w:spacing w:before="36" w:after="36"/>
              <w:jc w:val="right"/>
              <w:rPr/>
            </w:pPr>
            <w:r>
              <w:rPr/>
              <w:t>0.643</w:t>
            </w:r>
          </w:p>
        </w:tc>
      </w:tr>
      <w:tr>
        <w:trPr/>
        <w:tc>
          <w:tcPr>
            <w:tcW w:w="4319" w:type="dxa"/>
            <w:tcBorders/>
            <w:shd w:fill="auto" w:val="clear"/>
          </w:tcPr>
          <w:p>
            <w:pPr>
              <w:pStyle w:val="Compact"/>
              <w:spacing w:before="36" w:after="36"/>
              <w:jc w:val="left"/>
              <w:rPr/>
            </w:pPr>
            <w:r>
              <w:rPr/>
              <w:t xml:space="preserve">Combined Fisher test (10 results,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heterogeneous)</w:t>
            </w:r>
          </w:p>
        </w:tc>
        <w:tc>
          <w:tcPr>
            <w:tcW w:w="4320" w:type="dxa"/>
            <w:tcBorders/>
            <w:shd w:fill="auto" w:val="clear"/>
          </w:tcPr>
          <w:p>
            <w:pPr>
              <w:pStyle w:val="Compact"/>
              <w:spacing w:before="36" w:after="36"/>
              <w:jc w:val="right"/>
              <w:rPr/>
            </w:pPr>
            <w:r>
              <w:rPr/>
              <w:t>0.771</w:t>
            </w:r>
          </w:p>
        </w:tc>
      </w:tr>
    </w:tbl>
    <w:p>
      <w:pPr>
        <w:pStyle w:val="Heading3"/>
        <w:rPr/>
      </w:pPr>
      <w:bookmarkStart w:id="17" w:name="performance-of-extreme-effects-to-detect-data-fabrication"/>
      <w:bookmarkEnd w:id="17"/>
      <w:r>
        <w:rPr/>
        <w:t>Performance of extreme effects to detect data fabrication</w:t>
      </w:r>
    </w:p>
    <w:p>
      <w:pPr>
        <w:pStyle w:val="FirstParagraph"/>
        <w:rPr/>
      </w:pPr>
      <w:r>
        <w:rPr/>
        <w:t xml:space="preserve">Table 4 indicates that using effect sizes (i.e.,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r</m:t>
        </m:r>
      </m:oMath>
      <w:r>
        <w:rPr/>
        <w:t>) is a simple but effective way to detect data fabrication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0.744</m:t>
        </m:r>
      </m:oMath>
      <w:r>
        <w:rPr/>
        <w:t xml:space="preserve">). Compared to the variance analyses several sections ago, its performance in this sample is a bit worse (i.e., 0.744 compared to 0.77). However, it makes up for this by computational parsimony. Whereas the variance analyses require a considerable amount of effort to implement, computing the correlation and taking the inverse is a relatively simple task. Further inspecting the effect size approach to detecting data fabrication indicates that no false positives occur until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0.31</m:t>
        </m:r>
      </m:oMath>
      <w:r>
        <w:rPr/>
        <w:t xml:space="preserve"> (i.e.,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0.69</m:t>
        </m:r>
      </m:oMath>
      <w:r>
        <w:rPr/>
        <w:t>), making this the optimal alpha level based on this sample (but note the small sample).</w:t>
      </w:r>
    </w:p>
    <w:p>
      <w:pPr>
        <w:pStyle w:val="TableCaption"/>
        <w:rPr/>
      </w:pPr>
      <w:r>
        <w:rPr>
          <w:i/>
        </w:rPr>
        <w:t>Table XX.</w:t>
      </w:r>
      <w:r>
        <w:rPr/>
        <w:t xml:space="preserve"> Diagnosticity of using effect sizes to detect data fabrication, depicted with the AUROC-value.</w:t>
      </w:r>
    </w:p>
    <w:tbl>
      <w:tblPr>
        <w:tblStyle w:val="TableNormal"/>
        <w:tblW w:w="864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Method</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AUROC</w:t>
            </w:r>
          </w:p>
        </w:tc>
      </w:tr>
      <w:tr>
        <w:trPr/>
        <w:tc>
          <w:tcPr>
            <w:tcW w:w="4319" w:type="dxa"/>
            <w:tcBorders/>
            <w:shd w:fill="auto" w:val="clear"/>
          </w:tcPr>
          <w:p>
            <w:pPr>
              <w:pStyle w:val="Compact"/>
              <w:spacing w:before="36" w:after="36"/>
              <w:jc w:val="left"/>
              <w:rPr/>
            </w:pPr>
            <w:r>
              <w:rPr/>
              <w:t>Effect sizes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r</m:t>
              </m:r>
            </m:oMath>
            <w:r>
              <w:rPr/>
              <w:t>)</w:t>
            </w:r>
          </w:p>
        </w:tc>
        <w:tc>
          <w:tcPr>
            <w:tcW w:w="4320" w:type="dxa"/>
            <w:tcBorders/>
            <w:shd w:fill="auto" w:val="clear"/>
          </w:tcPr>
          <w:p>
            <w:pPr>
              <w:pStyle w:val="Compact"/>
              <w:spacing w:before="36" w:after="36"/>
              <w:jc w:val="right"/>
              <w:rPr/>
            </w:pPr>
            <w:r>
              <w:rPr/>
              <w:t>0.744</w:t>
            </w:r>
          </w:p>
        </w:tc>
      </w:tr>
    </w:tbl>
    <w:p>
      <w:pPr>
        <w:pStyle w:val="Heading1"/>
        <w:rPr/>
      </w:pPr>
      <w:bookmarkStart w:id="18" w:name="session-info"/>
      <w:bookmarkEnd w:id="18"/>
      <w:r>
        <w:rPr/>
        <w:t>Session info</w:t>
      </w:r>
    </w:p>
    <w:p>
      <w:pPr>
        <w:pStyle w:val="SourceCode"/>
        <w:rPr/>
      </w:pPr>
      <w:r>
        <w:rPr>
          <w:rStyle w:val="KeywordTok"/>
        </w:rPr>
        <w:t>sessionInfo</w:t>
      </w:r>
      <w:r>
        <w:rPr>
          <w:rStyle w:val="NormalTok"/>
        </w:rPr>
        <w:t>()</w:t>
      </w:r>
    </w:p>
    <w:p>
      <w:pPr>
        <w:pStyle w:val="SourceCode"/>
        <w:rPr/>
      </w:pPr>
      <w:r>
        <w:rPr>
          <w:rStyle w:val="VerbatimChar"/>
        </w:rPr>
        <w:t>## R version 3.3.3 (2017-03-06)</w:t>
      </w:r>
      <w:r>
        <w:rPr/>
        <w:br/>
      </w:r>
      <w:r>
        <w:rPr>
          <w:rStyle w:val="VerbatimChar"/>
        </w:rPr>
        <w:t>## Platform: x86_64-redhat-linux-gnu (64-bit)</w:t>
      </w:r>
      <w:r>
        <w:rPr/>
        <w:br/>
      </w:r>
      <w:r>
        <w:rPr>
          <w:rStyle w:val="VerbatimChar"/>
        </w:rPr>
        <w:t>## Running under: Fedora 25 (Workstation Edition)</w:t>
      </w:r>
      <w:r>
        <w:rPr/>
        <w:br/>
      </w:r>
      <w:r>
        <w:rPr>
          <w:rStyle w:val="VerbatimChar"/>
        </w:rPr>
        <w:t xml:space="preserve">## </w:t>
      </w:r>
      <w:r>
        <w:rPr/>
        <w:br/>
      </w:r>
      <w:r>
        <w:rPr>
          <w:rStyle w:val="VerbatimChar"/>
        </w:rPr>
        <w:t>## locale:</w:t>
      </w:r>
      <w:r>
        <w:rPr/>
        <w:br/>
      </w:r>
      <w:r>
        <w:rPr>
          <w:rStyle w:val="VerbatimChar"/>
        </w:rPr>
        <w:t xml:space="preserve">##  [1] LC_CTYPE=en_US.UTF-8       LC_NUMERIC=C              </w:t>
      </w:r>
      <w:r>
        <w:rPr/>
        <w:br/>
      </w:r>
      <w:r>
        <w:rPr>
          <w:rStyle w:val="VerbatimChar"/>
        </w:rPr>
        <w:t xml:space="preserve">##  [3] LC_TIME=en_US.UTF-8        LC_COLLATE=en_US.UTF-8    </w:t>
      </w:r>
      <w:r>
        <w:rPr/>
        <w:br/>
      </w:r>
      <w:r>
        <w:rPr>
          <w:rStyle w:val="VerbatimChar"/>
        </w:rPr>
        <w:t xml:space="preserve">##  [5] LC_MONETARY=en_US.UTF-8    LC_MESSAGES=en_US.UTF-8   </w:t>
      </w:r>
      <w:r>
        <w:rPr/>
        <w:br/>
      </w:r>
      <w:r>
        <w:rPr>
          <w:rStyle w:val="VerbatimChar"/>
        </w:rPr>
        <w:t xml:space="preserve">##  [7] LC_PAPER=en_US.UTF-8       LC_NAME=C                 </w:t>
      </w:r>
      <w:r>
        <w:rPr/>
        <w:br/>
      </w:r>
      <w:r>
        <w:rPr>
          <w:rStyle w:val="VerbatimChar"/>
        </w:rPr>
        <w:t xml:space="preserve">##  [9] LC_ADDRESS=C               LC_TELEPHONE=C            </w:t>
      </w:r>
      <w:r>
        <w:rPr/>
        <w:br/>
      </w:r>
      <w:r>
        <w:rPr>
          <w:rStyle w:val="VerbatimChar"/>
        </w:rPr>
        <w:t xml:space="preserve">## [11] LC_MEASUREMENT=en_US.UTF-8 LC_IDENTIFICATION=C       </w:t>
      </w:r>
      <w:r>
        <w:rPr/>
        <w:br/>
      </w:r>
      <w:r>
        <w:rPr>
          <w:rStyle w:val="VerbatimChar"/>
        </w:rPr>
        <w:t xml:space="preserve">## </w:t>
      </w:r>
      <w:r>
        <w:rPr/>
        <w:br/>
      </w:r>
      <w:r>
        <w:rPr>
          <w:rStyle w:val="VerbatimChar"/>
        </w:rPr>
        <w:t>## attached base packages:</w:t>
      </w:r>
      <w:r>
        <w:rPr/>
        <w:br/>
      </w:r>
      <w:r>
        <w:rPr>
          <w:rStyle w:val="VerbatimChar"/>
        </w:rPr>
        <w:t xml:space="preserve">## [1] stats     graphics  grDevices utils     datasets  methods   base     </w:t>
      </w:r>
      <w:r>
        <w:rPr/>
        <w:br/>
      </w:r>
      <w:r>
        <w:rPr>
          <w:rStyle w:val="VerbatimChar"/>
        </w:rPr>
        <w:t xml:space="preserve">## </w:t>
      </w:r>
      <w:r>
        <w:rPr/>
        <w:br/>
      </w:r>
      <w:r>
        <w:rPr>
          <w:rStyle w:val="VerbatimChar"/>
        </w:rPr>
        <w:t>## other attached packages:</w:t>
      </w:r>
      <w:r>
        <w:rPr/>
        <w:br/>
      </w:r>
      <w:r>
        <w:rPr>
          <w:rStyle w:val="VerbatimChar"/>
        </w:rPr>
        <w:t xml:space="preserve">##  [1] stringr_1.2.0     plyr_1.8.4        reshape2_1.4.2   </w:t>
      </w:r>
      <w:r>
        <w:rPr/>
        <w:br/>
      </w:r>
      <w:r>
        <w:rPr>
          <w:rStyle w:val="VerbatimChar"/>
        </w:rPr>
        <w:t xml:space="preserve">##  [4] dplyr_0.5.0       data.table_1.10.4 lsr_0.5          </w:t>
      </w:r>
      <w:r>
        <w:rPr/>
        <w:br/>
      </w:r>
      <w:r>
        <w:rPr>
          <w:rStyle w:val="VerbatimChar"/>
        </w:rPr>
        <w:t xml:space="preserve">##  [7] effects_3.1-2     car_2.0-19        httr_1.2.1       </w:t>
      </w:r>
      <w:r>
        <w:rPr/>
        <w:br/>
      </w:r>
      <w:r>
        <w:rPr>
          <w:rStyle w:val="VerbatimChar"/>
        </w:rPr>
        <w:t xml:space="preserve">## [10] xtable_1.7-1      gridExtra_2.2.1   ggplot2_2.2.1    </w:t>
      </w:r>
      <w:r>
        <w:rPr/>
        <w:br/>
      </w:r>
      <w:r>
        <w:rPr>
          <w:rStyle w:val="VerbatimChar"/>
        </w:rPr>
        <w:t xml:space="preserve">## [13] latex2exp_0.4.0   foreign_0.8-67    pROC_1.9.1       </w:t>
      </w:r>
      <w:r>
        <w:rPr/>
        <w:br/>
      </w:r>
      <w:r>
        <w:rPr>
          <w:rStyle w:val="VerbatimChar"/>
        </w:rPr>
        <w:t xml:space="preserve">## </w:t>
      </w:r>
      <w:r>
        <w:rPr/>
        <w:br/>
      </w:r>
      <w:r>
        <w:rPr>
          <w:rStyle w:val="VerbatimChar"/>
        </w:rPr>
        <w:t>## loaded via a namespace (and not attached):</w:t>
      </w:r>
      <w:r>
        <w:rPr/>
        <w:br/>
      </w:r>
      <w:r>
        <w:rPr>
          <w:rStyle w:val="VerbatimChar"/>
        </w:rPr>
        <w:t xml:space="preserve">##  [1] Rcpp_0.12.10     highr_0.6        nloptr_1.0.4     tools_3.3.3     </w:t>
      </w:r>
      <w:r>
        <w:rPr/>
        <w:br/>
      </w:r>
      <w:r>
        <w:rPr>
          <w:rStyle w:val="VerbatimChar"/>
        </w:rPr>
        <w:t xml:space="preserve">##  [5] digest_0.6.8     lme4_1.1-13      evaluate_0.10    tibble_1.3.0    </w:t>
      </w:r>
      <w:r>
        <w:rPr/>
        <w:br/>
      </w:r>
      <w:r>
        <w:rPr>
          <w:rStyle w:val="VerbatimChar"/>
        </w:rPr>
        <w:t xml:space="preserve">##  [9] gtable_0.2.0     nlme_3.1-131     lattice_0.20-34  Matrix_1.2-8    </w:t>
      </w:r>
      <w:r>
        <w:rPr/>
        <w:br/>
      </w:r>
      <w:r>
        <w:rPr>
          <w:rStyle w:val="VerbatimChar"/>
        </w:rPr>
        <w:t xml:space="preserve">## [13] DBI_0.6-1        yaml_2.1.14      knitr_1.15.1     rprojroot_1.2   </w:t>
      </w:r>
      <w:r>
        <w:rPr/>
        <w:br/>
      </w:r>
      <w:r>
        <w:rPr>
          <w:rStyle w:val="VerbatimChar"/>
        </w:rPr>
        <w:t xml:space="preserve">## [17] grid_3.3.3       nnet_7.3-12      R6_2.2.0         rmarkdown_1.5   </w:t>
      </w:r>
      <w:r>
        <w:rPr/>
        <w:br/>
      </w:r>
      <w:r>
        <w:rPr>
          <w:rStyle w:val="VerbatimChar"/>
        </w:rPr>
        <w:t xml:space="preserve">## [21] minqa_1.2.4      magrittr_1.5     backports_1.0.5  scales_0.4.1    </w:t>
      </w:r>
      <w:r>
        <w:rPr/>
        <w:br/>
      </w:r>
      <w:r>
        <w:rPr>
          <w:rStyle w:val="VerbatimChar"/>
        </w:rPr>
        <w:t>## [25] htmltools_0.3.6  MASS_7.3-45      splines_3.3.3    assertthat_0.2.0</w:t>
      </w:r>
      <w:r>
        <w:rPr/>
        <w:br/>
      </w:r>
      <w:r>
        <w:rPr>
          <w:rStyle w:val="VerbatimChar"/>
        </w:rPr>
        <w:t xml:space="preserve">## [29] colorspace_1.3-2 labeling_0.3     stringi_1.1.5    lazyeval_0.2.0  </w:t>
      </w:r>
      <w:r>
        <w:rPr/>
        <w:br/>
      </w:r>
      <w:r>
        <w:rPr>
          <w:rStyle w:val="VerbatimChar"/>
        </w:rPr>
        <w:t>## [33] munsell_0.4.3</w:t>
      </w:r>
    </w:p>
    <w:p>
      <w:pPr>
        <w:pStyle w:val="Heading1"/>
        <w:rPr/>
      </w:pPr>
      <w:bookmarkStart w:id="19" w:name="references"/>
      <w:bookmarkEnd w:id="19"/>
      <w:r>
        <w:rPr/>
        <w:t>References</w:t>
      </w:r>
    </w:p>
    <w:p>
      <w:pPr>
        <w:pStyle w:val="Bibliography"/>
        <w:rPr/>
      </w:pPr>
      <w:r>
        <w:rPr/>
        <w:t xml:space="preserve">Akhtar-Danesh, N., &amp; Dehghan-Kooshkghazi, M. (2003). How does correlation structure differ between real and fabricated data-sets? </w:t>
      </w:r>
      <w:r>
        <w:rPr>
          <w:i/>
        </w:rPr>
        <w:t>BMC Medical Research Methodology</w:t>
      </w:r>
      <w:r>
        <w:rPr/>
        <w:t xml:space="preserve">, </w:t>
      </w:r>
      <w:r>
        <w:rPr>
          <w:i/>
        </w:rPr>
        <w:t>3</w:t>
      </w:r>
      <w:r>
        <w:rPr/>
        <w:t xml:space="preserve">(1). </w:t>
      </w:r>
      <w:hyperlink r:id="rId15">
        <w:r>
          <w:rPr>
            <w:rStyle w:val="InternetLink"/>
          </w:rPr>
          <w:t>http://doi.org/10.1186/1471-2288-3-18</w:t>
        </w:r>
      </w:hyperlink>
    </w:p>
    <w:p>
      <w:pPr>
        <w:pStyle w:val="Bibliography"/>
        <w:rPr/>
      </w:pPr>
      <w:r>
        <w:rPr/>
        <w:t xml:space="preserve">Altman, D. G., &amp; Bland, J. M. (1995). Statistics notes: Absence of evidence is not evidence of absence. </w:t>
      </w:r>
      <w:r>
        <w:rPr>
          <w:i/>
        </w:rPr>
        <w:t>BMJ</w:t>
      </w:r>
      <w:r>
        <w:rPr/>
        <w:t xml:space="preserve">, </w:t>
      </w:r>
      <w:r>
        <w:rPr>
          <w:i/>
        </w:rPr>
        <w:t>311</w:t>
      </w:r>
      <w:r>
        <w:rPr/>
        <w:t xml:space="preserve">(7003), 485–485. </w:t>
      </w:r>
      <w:hyperlink r:id="rId16">
        <w:r>
          <w:rPr>
            <w:rStyle w:val="InternetLink"/>
          </w:rPr>
          <w:t>http://doi.org/10.1136/bmj.311.7003.485</w:t>
        </w:r>
      </w:hyperlink>
    </w:p>
    <w:p>
      <w:pPr>
        <w:pStyle w:val="Bibliography"/>
        <w:rPr/>
      </w:pPr>
      <w:r>
        <w:rPr/>
        <w:t xml:space="preserve">Anaya, J. (2016). The grimmer test: A method for testing the validity of reported measures of variability. </w:t>
      </w:r>
      <w:r>
        <w:rPr>
          <w:i/>
        </w:rPr>
        <w:t>PeerJ Preprints</w:t>
      </w:r>
      <w:r>
        <w:rPr/>
        <w:t xml:space="preserve">, </w:t>
      </w:r>
      <w:r>
        <w:rPr>
          <w:i/>
        </w:rPr>
        <w:t>4</w:t>
      </w:r>
      <w:r>
        <w:rPr/>
        <w:t xml:space="preserve">, e2400v1. </w:t>
      </w:r>
      <w:hyperlink r:id="rId17">
        <w:r>
          <w:rPr>
            <w:rStyle w:val="InternetLink"/>
          </w:rPr>
          <w:t>http://doi.org/10.7287/peerj.preprints.2400v1</w:t>
        </w:r>
      </w:hyperlink>
    </w:p>
    <w:p>
      <w:pPr>
        <w:pStyle w:val="Bibliography"/>
        <w:rPr/>
      </w:pPr>
      <w:r>
        <w:rPr/>
        <w:t xml:space="preserve">Anonymous. (2012). Suspicion of scientific misconduct by Dr. Jens Foerster. Retrieved from </w:t>
      </w:r>
      <w:hyperlink r:id="rId18">
        <w:r>
          <w:rPr>
            <w:rStyle w:val="InternetLink"/>
          </w:rPr>
          <w:t>http://wayback.archive.org/web/20170511084213/https://retractionwatch.files.wordpress.com/2014/04/report_foerster.pdf</w:t>
        </w:r>
      </w:hyperlink>
    </w:p>
    <w:p>
      <w:pPr>
        <w:pStyle w:val="Bibliography"/>
        <w:rPr/>
      </w:pPr>
      <w:r>
        <w:rPr/>
        <w:t xml:space="preserve">Bailey, K. R. (1991). Detecting fabrication of data in a multicenter collaborative animal study. </w:t>
      </w:r>
      <w:r>
        <w:rPr>
          <w:i/>
        </w:rPr>
        <w:t>Controlled Clinical Trials</w:t>
      </w:r>
      <w:r>
        <w:rPr/>
        <w:t xml:space="preserve">, </w:t>
      </w:r>
      <w:r>
        <w:rPr>
          <w:i/>
        </w:rPr>
        <w:t>12</w:t>
      </w:r>
      <w:r>
        <w:rPr/>
        <w:t xml:space="preserve">(6), 741–752. </w:t>
      </w:r>
      <w:hyperlink r:id="rId19">
        <w:r>
          <w:rPr>
            <w:rStyle w:val="InternetLink"/>
          </w:rPr>
          <w:t>http://doi.org/10.1016/0197-2456(91)90037-m</w:t>
        </w:r>
      </w:hyperlink>
    </w:p>
    <w:p>
      <w:pPr>
        <w:pStyle w:val="Bibliography"/>
        <w:rPr/>
      </w:pPr>
      <w:r>
        <w:rPr/>
        <w:t xml:space="preserve">Baker, M. (2016). Stat-checking software stirs up psychology. </w:t>
      </w:r>
      <w:r>
        <w:rPr>
          <w:i/>
        </w:rPr>
        <w:t>Nature</w:t>
      </w:r>
      <w:r>
        <w:rPr/>
        <w:t xml:space="preserve">, </w:t>
      </w:r>
      <w:r>
        <w:rPr>
          <w:i/>
        </w:rPr>
        <w:t>540</w:t>
      </w:r>
      <w:r>
        <w:rPr/>
        <w:t xml:space="preserve">(7631), 151–152. </w:t>
      </w:r>
      <w:hyperlink r:id="rId20">
        <w:r>
          <w:rPr>
            <w:rStyle w:val="InternetLink"/>
          </w:rPr>
          <w:t>http://doi.org/10.1038/540151a</w:t>
        </w:r>
      </w:hyperlink>
    </w:p>
    <w:p>
      <w:pPr>
        <w:pStyle w:val="Bibliography"/>
        <w:rPr/>
      </w:pPr>
      <w:r>
        <w:rPr/>
        <w:t xml:space="preserve">Bik, E. M., Casadevall, A., &amp; Fang, F. C. (2016). The prevalence of inappropriate image duplication in biomedical research publications. </w:t>
      </w:r>
      <w:r>
        <w:rPr>
          <w:i/>
        </w:rPr>
        <w:t>MBio</w:t>
      </w:r>
      <w:r>
        <w:rPr/>
        <w:t xml:space="preserve">, </w:t>
      </w:r>
      <w:r>
        <w:rPr>
          <w:i/>
        </w:rPr>
        <w:t>7</w:t>
      </w:r>
      <w:r>
        <w:rPr/>
        <w:t xml:space="preserve">(3), e00809–16. </w:t>
      </w:r>
      <w:hyperlink r:id="rId21">
        <w:r>
          <w:rPr>
            <w:rStyle w:val="InternetLink"/>
          </w:rPr>
          <w:t>http://doi.org/10.1128/mbio.00809-16</w:t>
        </w:r>
      </w:hyperlink>
    </w:p>
    <w:p>
      <w:pPr>
        <w:pStyle w:val="Bibliography"/>
        <w:rPr/>
      </w:pPr>
      <w:r>
        <w:rPr/>
        <w:t xml:space="preserve">Broockman, D., Kalla, J., &amp; Aronow, P. (2015). Irregularities in LaCour (2014). Retrieved from </w:t>
      </w:r>
      <w:hyperlink r:id="rId22">
        <w:r>
          <w:rPr>
            <w:rStyle w:val="InternetLink"/>
          </w:rPr>
          <w:t>http://web.stanford.edu/~dbroock/broockman_kalla_aronow_lg_irregularities.pdf</w:t>
        </w:r>
      </w:hyperlink>
    </w:p>
    <w:p>
      <w:pPr>
        <w:pStyle w:val="Bibliography"/>
        <w:rPr/>
      </w:pPr>
      <w:r>
        <w:rPr/>
        <w:t xml:space="preserve">Brown, N. J. L., &amp; Heathers, J. A. J. (2016). The grim test: A simple technique detects numerous anomalies in the reporting of results in psychology. </w:t>
      </w:r>
      <w:r>
        <w:rPr>
          <w:i/>
        </w:rPr>
        <w:t>PeerJ Preprints</w:t>
      </w:r>
      <w:r>
        <w:rPr/>
        <w:t xml:space="preserve">, </w:t>
      </w:r>
      <w:r>
        <w:rPr>
          <w:i/>
        </w:rPr>
        <w:t>4</w:t>
      </w:r>
      <w:r>
        <w:rPr/>
        <w:t xml:space="preserve">, e2064v1. </w:t>
      </w:r>
      <w:hyperlink r:id="rId23">
        <w:r>
          <w:rPr>
            <w:rStyle w:val="InternetLink"/>
          </w:rPr>
          <w:t>http://doi.org/10.7287/peerj.preprints.2064v1</w:t>
        </w:r>
      </w:hyperlink>
    </w:p>
    <w:p>
      <w:pPr>
        <w:pStyle w:val="Bibliography"/>
        <w:rPr/>
      </w:pPr>
      <w:r>
        <w:rPr/>
        <w:t xml:space="preserve">Buyse, M., George, S. L., Evans, S., Geller, N. L., Ranstam, J., Scherrer, B., … Verma, B. L. (1999). The role of biostatistics in the prevention, detection and treatment of fraud in clinical trials. </w:t>
      </w:r>
      <w:r>
        <w:rPr>
          <w:i/>
        </w:rPr>
        <w:t>Statistics in Medicine</w:t>
      </w:r>
      <w:r>
        <w:rPr/>
        <w:t xml:space="preserve">, </w:t>
      </w:r>
      <w:r>
        <w:rPr>
          <w:i/>
        </w:rPr>
        <w:t>18</w:t>
      </w:r>
      <w:r>
        <w:rPr/>
        <w:t xml:space="preserve">(24), 3435–3451. </w:t>
      </w:r>
      <w:hyperlink r:id="rId24">
        <w:r>
          <w:rPr>
            <w:rStyle w:val="InternetLink"/>
          </w:rPr>
          <w:t>http://doi.org/10.1002/(SICI)1097-0258(19991230)18:24&lt;3435::AID-SIM365&gt;3.0.CO;2-O</w:t>
        </w:r>
      </w:hyperlink>
    </w:p>
    <w:p>
      <w:pPr>
        <w:pStyle w:val="Bibliography"/>
        <w:rPr/>
      </w:pPr>
      <w:r>
        <w:rPr/>
        <w:t xml:space="preserve">Carlisle, J. B. (2012). The analysis of 168 randomised controlled trials to test data integrity. </w:t>
      </w:r>
      <w:r>
        <w:rPr>
          <w:i/>
        </w:rPr>
        <w:t>Anaesthesia</w:t>
      </w:r>
      <w:r>
        <w:rPr/>
        <w:t xml:space="preserve">, </w:t>
      </w:r>
      <w:r>
        <w:rPr>
          <w:i/>
        </w:rPr>
        <w:t>67</w:t>
      </w:r>
      <w:r>
        <w:rPr/>
        <w:t xml:space="preserve">(5), 521–537. </w:t>
      </w:r>
      <w:hyperlink r:id="rId25">
        <w:r>
          <w:rPr>
            <w:rStyle w:val="InternetLink"/>
          </w:rPr>
          <w:t>http://doi.org/10.1111/j.1365-2044.2012.07128.x</w:t>
        </w:r>
      </w:hyperlink>
    </w:p>
    <w:p>
      <w:pPr>
        <w:pStyle w:val="Bibliography"/>
        <w:rPr/>
      </w:pPr>
      <w:r>
        <w:rPr/>
        <w:t xml:space="preserve">Carlisle, J. B., Dexter, F., Pandit, J. J., Shafer, S. L., &amp; Yentis, S. M. (2015). Calculating the probability of random sampling for continuous variables in submitted or published randomised controlled trials. </w:t>
      </w:r>
      <w:r>
        <w:rPr>
          <w:i/>
        </w:rPr>
        <w:t>Anaesthesia</w:t>
      </w:r>
      <w:r>
        <w:rPr/>
        <w:t xml:space="preserve">, </w:t>
      </w:r>
      <w:r>
        <w:rPr>
          <w:i/>
        </w:rPr>
        <w:t>70</w:t>
      </w:r>
      <w:r>
        <w:rPr/>
        <w:t xml:space="preserve">(7), 848–858. </w:t>
      </w:r>
      <w:hyperlink r:id="rId26">
        <w:r>
          <w:rPr>
            <w:rStyle w:val="InternetLink"/>
          </w:rPr>
          <w:t>http://doi.org/10.1111/anae.13126</w:t>
        </w:r>
      </w:hyperlink>
    </w:p>
    <w:p>
      <w:pPr>
        <w:pStyle w:val="Bibliography"/>
        <w:rPr/>
      </w:pPr>
      <w:r>
        <w:rPr/>
        <w:t xml:space="preserve">Fanelli, D. (2009). How many scientists fabricate and falsify research? A systematic review and meta-analysis of survey data. </w:t>
      </w:r>
      <w:r>
        <w:rPr>
          <w:i/>
        </w:rPr>
        <w:t>PLoS ONE</w:t>
      </w:r>
      <w:r>
        <w:rPr/>
        <w:t xml:space="preserve">, </w:t>
      </w:r>
      <w:r>
        <w:rPr>
          <w:i/>
        </w:rPr>
        <w:t>4</w:t>
      </w:r>
      <w:r>
        <w:rPr/>
        <w:t xml:space="preserve">(5), e5738. </w:t>
      </w:r>
      <w:hyperlink r:id="rId27">
        <w:r>
          <w:rPr>
            <w:rStyle w:val="InternetLink"/>
          </w:rPr>
          <w:t>http://doi.org/10.1371/journal.pone.0005738</w:t>
        </w:r>
      </w:hyperlink>
    </w:p>
    <w:p>
      <w:pPr>
        <w:pStyle w:val="Bibliography"/>
        <w:rPr/>
      </w:pPr>
      <w:r>
        <w:rPr/>
        <w:t xml:space="preserve">Fisher, R. A. (1925). </w:t>
      </w:r>
      <w:r>
        <w:rPr>
          <w:i/>
        </w:rPr>
        <w:t>Statistical methods for research workers</w:t>
      </w:r>
      <w:r>
        <w:rPr/>
        <w:t>. Edinburg, United Kingdom: Oliver Boyd.</w:t>
      </w:r>
    </w:p>
    <w:p>
      <w:pPr>
        <w:pStyle w:val="Bibliography"/>
        <w:rPr/>
      </w:pPr>
      <w:r>
        <w:rPr/>
        <w:t xml:space="preserve">Goodman, S. (2008). A dirty dozen: Twelve p-value misconceptions. </w:t>
      </w:r>
      <w:r>
        <w:rPr>
          <w:i/>
        </w:rPr>
        <w:t>Seminars in Hematology</w:t>
      </w:r>
      <w:r>
        <w:rPr/>
        <w:t xml:space="preserve">, </w:t>
      </w:r>
      <w:r>
        <w:rPr>
          <w:i/>
        </w:rPr>
        <w:t>45</w:t>
      </w:r>
      <w:r>
        <w:rPr/>
        <w:t xml:space="preserve">(3), 135–140. </w:t>
      </w:r>
      <w:hyperlink r:id="rId28">
        <w:r>
          <w:rPr>
            <w:rStyle w:val="InternetLink"/>
          </w:rPr>
          <w:t>http://doi.org/10.1053/j.seminhematol.2008.04.003</w:t>
        </w:r>
      </w:hyperlink>
    </w:p>
    <w:p>
      <w:pPr>
        <w:pStyle w:val="Bibliography"/>
        <w:rPr/>
      </w:pPr>
      <w:r>
        <w:rPr/>
        <w:t xml:space="preserve">Goodman, S. N. (1999). Toward evidence-based medical statistics. 1: The p value fallacy. </w:t>
      </w:r>
      <w:r>
        <w:rPr>
          <w:i/>
        </w:rPr>
        <w:t>Annals of Internal Medicine</w:t>
      </w:r>
      <w:r>
        <w:rPr/>
        <w:t xml:space="preserve">, </w:t>
      </w:r>
      <w:r>
        <w:rPr>
          <w:i/>
        </w:rPr>
        <w:t>130</w:t>
      </w:r>
      <w:r>
        <w:rPr/>
        <w:t xml:space="preserve">(12), 995. </w:t>
      </w:r>
      <w:hyperlink r:id="rId29">
        <w:r>
          <w:rPr>
            <w:rStyle w:val="InternetLink"/>
          </w:rPr>
          <w:t>http://doi.org/10.7326/0003-4819-130-12-199906150-00008</w:t>
        </w:r>
      </w:hyperlink>
    </w:p>
    <w:p>
      <w:pPr>
        <w:pStyle w:val="Bibliography"/>
        <w:rPr/>
      </w:pPr>
      <w:r>
        <w:rPr/>
        <w:t xml:space="preserve">Haldane, J. B. S. (1948). The faking of genetical results. </w:t>
      </w:r>
      <w:r>
        <w:rPr>
          <w:i/>
        </w:rPr>
        <w:t>Eureka</w:t>
      </w:r>
      <w:r>
        <w:rPr/>
        <w:t xml:space="preserve">, </w:t>
      </w:r>
      <w:r>
        <w:rPr>
          <w:i/>
        </w:rPr>
        <w:t>6</w:t>
      </w:r>
      <w:r>
        <w:rPr/>
        <w:t xml:space="preserve">, 21–28. Retrieved from </w:t>
      </w:r>
      <w:hyperlink r:id="rId30">
        <w:r>
          <w:rPr>
            <w:rStyle w:val="InternetLink"/>
          </w:rPr>
          <w:t>http://wayback.archive.org/web/20170206144438/http://www.archim.org.uk/eureka/27/faking.html</w:t>
        </w:r>
      </w:hyperlink>
    </w:p>
    <w:p>
      <w:pPr>
        <w:pStyle w:val="Bibliography"/>
        <w:rPr/>
      </w:pPr>
      <w:r>
        <w:rPr/>
        <w:t xml:space="preserve">Hanley, J. A., &amp; McNeil, B. J. (1982). The meaning and use of the area under a receiver operating characteristic (ROC) curve. </w:t>
      </w:r>
      <w:r>
        <w:rPr>
          <w:i/>
        </w:rPr>
        <w:t>Radiology</w:t>
      </w:r>
      <w:r>
        <w:rPr/>
        <w:t xml:space="preserve">, </w:t>
      </w:r>
      <w:r>
        <w:rPr>
          <w:i/>
        </w:rPr>
        <w:t>143</w:t>
      </w:r>
      <w:r>
        <w:rPr/>
        <w:t xml:space="preserve">(1), 29–36. </w:t>
      </w:r>
      <w:hyperlink r:id="rId31">
        <w:r>
          <w:rPr>
            <w:rStyle w:val="InternetLink"/>
          </w:rPr>
          <w:t>http://doi.org/10.1148/radiology.143.1.7063747</w:t>
        </w:r>
      </w:hyperlink>
    </w:p>
    <w:p>
      <w:pPr>
        <w:pStyle w:val="Bibliography"/>
        <w:rPr/>
      </w:pPr>
      <w:r>
        <w:rPr/>
        <w:t xml:space="preserve">Hartgerink, C. H., Aert, R. C. van, Nuijten, M. B., Wicherts, J. M., &amp; Assen, M. A. van. (2016). Distributions of p-values smaller than .05 in psychology: What is going on? </w:t>
      </w:r>
      <w:r>
        <w:rPr>
          <w:i/>
        </w:rPr>
        <w:t>PeerJ</w:t>
      </w:r>
      <w:r>
        <w:rPr/>
        <w:t xml:space="preserve">, </w:t>
      </w:r>
      <w:r>
        <w:rPr>
          <w:i/>
        </w:rPr>
        <w:t>4</w:t>
      </w:r>
      <w:r>
        <w:rPr/>
        <w:t xml:space="preserve">, e1935. </w:t>
      </w:r>
      <w:hyperlink r:id="rId32">
        <w:r>
          <w:rPr>
            <w:rStyle w:val="InternetLink"/>
          </w:rPr>
          <w:t>http://doi.org/10.7717/peerj.1935</w:t>
        </w:r>
      </w:hyperlink>
    </w:p>
    <w:p>
      <w:pPr>
        <w:pStyle w:val="Bibliography"/>
        <w:rPr/>
      </w:pPr>
      <w:r>
        <w:rPr/>
        <w:t xml:space="preserve">Hartgerink, C., &amp; George, S. (2015). Problematic trial detection in ClinicalTrials.gov. </w:t>
      </w:r>
      <w:r>
        <w:rPr>
          <w:i/>
        </w:rPr>
        <w:t>Research Ideas and Outcomes</w:t>
      </w:r>
      <w:r>
        <w:rPr/>
        <w:t xml:space="preserve">, </w:t>
      </w:r>
      <w:r>
        <w:rPr>
          <w:i/>
        </w:rPr>
        <w:t>1</w:t>
      </w:r>
      <w:r>
        <w:rPr/>
        <w:t xml:space="preserve">, e7462. </w:t>
      </w:r>
      <w:hyperlink r:id="rId33">
        <w:r>
          <w:rPr>
            <w:rStyle w:val="InternetLink"/>
          </w:rPr>
          <w:t>http://doi.org/10.3897/rio.1.e7462</w:t>
        </w:r>
      </w:hyperlink>
    </w:p>
    <w:p>
      <w:pPr>
        <w:pStyle w:val="Bibliography"/>
        <w:rPr/>
      </w:pPr>
      <w:r>
        <w:rPr/>
        <w:t xml:space="preserve">Hobbes, T. (1651). </w:t>
      </w:r>
      <w:r>
        <w:rPr>
          <w:i/>
        </w:rPr>
        <w:t>Leviathan</w:t>
      </w:r>
      <w:r>
        <w:rPr/>
        <w:t>. Oxford University Presss.</w:t>
      </w:r>
    </w:p>
    <w:p>
      <w:pPr>
        <w:pStyle w:val="Bibliography"/>
        <w:rPr/>
      </w:pPr>
      <w:r>
        <w:rPr/>
        <w:t xml:space="preserve">Hoekstra, R., Finch, S., Kiers, H. A. L., &amp; Johnson, A. (2006). Probability as certainty: Dichotomous thinking and the misuse of p values. </w:t>
      </w:r>
      <w:r>
        <w:rPr>
          <w:i/>
        </w:rPr>
        <w:t>Psychonomic Bulletin and Review</w:t>
      </w:r>
      <w:r>
        <w:rPr/>
        <w:t xml:space="preserve">, </w:t>
      </w:r>
      <w:r>
        <w:rPr>
          <w:i/>
        </w:rPr>
        <w:t>13</w:t>
      </w:r>
      <w:r>
        <w:rPr/>
        <w:t xml:space="preserve">(6), 1033–1037. </w:t>
      </w:r>
      <w:hyperlink r:id="rId34">
        <w:r>
          <w:rPr>
            <w:rStyle w:val="InternetLink"/>
          </w:rPr>
          <w:t>http://doi.org/10.3758/bf03213921</w:t>
        </w:r>
      </w:hyperlink>
    </w:p>
    <w:p>
      <w:pPr>
        <w:pStyle w:val="Bibliography"/>
        <w:rPr/>
      </w:pPr>
      <w:r>
        <w:rPr/>
        <w:t xml:space="preserve">Hogg, R. V., &amp; Tanis, E. A. (2001). </w:t>
      </w:r>
      <w:r>
        <w:rPr>
          <w:i/>
        </w:rPr>
        <w:t>Probability and statistical inference</w:t>
      </w:r>
      <w:r>
        <w:rPr/>
        <w:t>. New Jersey, NJ: Prentice-Hall.</w:t>
      </w:r>
    </w:p>
    <w:p>
      <w:pPr>
        <w:pStyle w:val="Bibliography"/>
        <w:rPr/>
      </w:pPr>
      <w:r>
        <w:rPr/>
        <w:t xml:space="preserve">Jacowitz, K. E., &amp; Kahneman, D. (1995). Measures of anchoring in estimation tasks. </w:t>
      </w:r>
      <w:r>
        <w:rPr>
          <w:i/>
        </w:rPr>
        <w:t>Personality &amp; Social Psychology Bulletin</w:t>
      </w:r>
      <w:r>
        <w:rPr/>
        <w:t xml:space="preserve">, </w:t>
      </w:r>
      <w:r>
        <w:rPr>
          <w:i/>
        </w:rPr>
        <w:t>21</w:t>
      </w:r>
      <w:r>
        <w:rPr/>
        <w:t xml:space="preserve">, 1161–1166. </w:t>
      </w:r>
      <w:hyperlink r:id="rId35">
        <w:r>
          <w:rPr>
            <w:rStyle w:val="InternetLink"/>
          </w:rPr>
          <w:t>http://doi.org/10.1037/e722982011-058</w:t>
        </w:r>
      </w:hyperlink>
    </w:p>
    <w:p>
      <w:pPr>
        <w:pStyle w:val="Bibliography"/>
        <w:rPr/>
      </w:pPr>
      <w:r>
        <w:rPr/>
        <w:t xml:space="preserve">James Heathers. (2017). Introducing SPRITE (and the Case of the Carthorse Child). Retrieved from </w:t>
      </w:r>
      <w:hyperlink r:id="rId36">
        <w:r>
          <w:rPr>
            <w:rStyle w:val="InternetLink"/>
          </w:rPr>
          <w:t>http://wayback.archive.org/web/20170515092023/https://hackernoon.com/introducing-sprite-and-the-case-of-the-carthorse-child-58683c2bfeb?gi=66761f959132</w:t>
        </w:r>
      </w:hyperlink>
    </w:p>
    <w:p>
      <w:pPr>
        <w:pStyle w:val="Bibliography"/>
        <w:rPr/>
      </w:pPr>
      <w:r>
        <w:rPr/>
        <w:t xml:space="preserve">Klein, R. A., Ratliff, K. A., Vianello, M., Adams, R. B., Bahník, Bernstein, M. J., … Nosek, B. A. (2014). Investigating variation in replicability. </w:t>
      </w:r>
      <w:r>
        <w:rPr>
          <w:i/>
        </w:rPr>
        <w:t>Social Psychology</w:t>
      </w:r>
      <w:r>
        <w:rPr/>
        <w:t xml:space="preserve">, </w:t>
      </w:r>
      <w:r>
        <w:rPr>
          <w:i/>
        </w:rPr>
        <w:t>45</w:t>
      </w:r>
      <w:r>
        <w:rPr/>
        <w:t xml:space="preserve">(3), 142–152. </w:t>
      </w:r>
      <w:hyperlink r:id="rId37">
        <w:r>
          <w:rPr>
            <w:rStyle w:val="InternetLink"/>
          </w:rPr>
          <w:t>http://doi.org/10.1027/1864-9335/a000178</w:t>
        </w:r>
      </w:hyperlink>
    </w:p>
    <w:p>
      <w:pPr>
        <w:pStyle w:val="Bibliography"/>
        <w:rPr/>
      </w:pPr>
      <w:r>
        <w:rPr/>
        <w:t xml:space="preserve">Koppers, L., Wormer, H., &amp; Ickstadt, K. (2016). Towards a systematic screening tool for quality assurance and semiautomatic fraud detection for images in the life sciences. </w:t>
      </w:r>
      <w:r>
        <w:rPr>
          <w:i/>
        </w:rPr>
        <w:t>Science and Engineering Ethics</w:t>
      </w:r>
      <w:r>
        <w:rPr/>
        <w:t xml:space="preserve">. </w:t>
      </w:r>
      <w:hyperlink r:id="rId38">
        <w:r>
          <w:rPr>
            <w:rStyle w:val="InternetLink"/>
          </w:rPr>
          <w:t>http://doi.org/10.1007/s11948-016-9841-7</w:t>
        </w:r>
      </w:hyperlink>
    </w:p>
    <w:p>
      <w:pPr>
        <w:pStyle w:val="Bibliography"/>
        <w:rPr/>
      </w:pPr>
      <w:r>
        <w:rPr/>
        <w:t xml:space="preserve">Nuijten, M. B., Hartgerink, C. H. J., Assen, M. A. L. M. van, Epskamp, S., &amp; Wicherts, J. M. (2015). The prevalence of statistical reporting errors in psychology (19852013). </w:t>
      </w:r>
      <w:r>
        <w:rPr>
          <w:i/>
        </w:rPr>
        <w:t>Behavior Research Methods</w:t>
      </w:r>
      <w:r>
        <w:rPr/>
        <w:t xml:space="preserve">, </w:t>
      </w:r>
      <w:r>
        <w:rPr>
          <w:i/>
        </w:rPr>
        <w:t>48</w:t>
      </w:r>
      <w:r>
        <w:rPr/>
        <w:t xml:space="preserve">(4), 1205–1226. </w:t>
      </w:r>
      <w:hyperlink r:id="rId39">
        <w:r>
          <w:rPr>
            <w:rStyle w:val="InternetLink"/>
          </w:rPr>
          <w:t>http://doi.org/10.3758/s13428-015-0664-2</w:t>
        </w:r>
      </w:hyperlink>
    </w:p>
    <w:p>
      <w:pPr>
        <w:pStyle w:val="Bibliography"/>
        <w:rPr/>
      </w:pPr>
      <w:r>
        <w:rPr/>
        <w:t xml:space="preserve">Oransky, I. (2015). The Retraction Watch Leaderboard. Retrieved from </w:t>
      </w:r>
      <w:hyperlink r:id="rId40">
        <w:r>
          <w:rPr>
            <w:rStyle w:val="InternetLink"/>
          </w:rPr>
          <w:t>http://wayback.archive.org/web/20170206163805/http://retractionwatch.com/the-retraction-watch-leaderboard/</w:t>
        </w:r>
      </w:hyperlink>
    </w:p>
    <w:p>
      <w:pPr>
        <w:pStyle w:val="Bibliography"/>
        <w:rPr/>
      </w:pPr>
      <w:r>
        <w:rPr/>
        <w:t xml:space="preserve">O’Brien, S. P., Danny Chan, Leung, F., Ko, E. J., Kwak, J. S., Gwon, T., … Bouter, L. (2016). Proceedings of the 4th world conference on research integrity. </w:t>
      </w:r>
      <w:r>
        <w:rPr>
          <w:i/>
        </w:rPr>
        <w:t>Research Integrity and Peer Review</w:t>
      </w:r>
      <w:r>
        <w:rPr/>
        <w:t xml:space="preserve">, </w:t>
      </w:r>
      <w:r>
        <w:rPr>
          <w:i/>
        </w:rPr>
        <w:t>1</w:t>
      </w:r>
      <w:r>
        <w:rPr/>
        <w:t xml:space="preserve">(S1). </w:t>
      </w:r>
      <w:hyperlink r:id="rId41">
        <w:r>
          <w:rPr>
            <w:rStyle w:val="InternetLink"/>
          </w:rPr>
          <w:t>http://doi.org/10.1186/s41073-016-0012-9</w:t>
        </w:r>
      </w:hyperlink>
    </w:p>
    <w:p>
      <w:pPr>
        <w:pStyle w:val="Bibliography"/>
        <w:rPr/>
      </w:pPr>
      <w:r>
        <w:rPr/>
        <w:t xml:space="preserve">Parker, A., &amp; Hamblen, J. (1989). Computer algorithms for plagiarism detection. </w:t>
      </w:r>
      <w:r>
        <w:rPr>
          <w:i/>
        </w:rPr>
        <w:t>IEEE Transactions on Education</w:t>
      </w:r>
      <w:r>
        <w:rPr/>
        <w:t xml:space="preserve">, </w:t>
      </w:r>
      <w:r>
        <w:rPr>
          <w:i/>
        </w:rPr>
        <w:t>32</w:t>
      </w:r>
      <w:r>
        <w:rPr/>
        <w:t xml:space="preserve">(2), 94–99. </w:t>
      </w:r>
      <w:hyperlink r:id="rId42">
        <w:r>
          <w:rPr>
            <w:rStyle w:val="InternetLink"/>
          </w:rPr>
          <w:t>http://doi.org/10.1109/13.28038</w:t>
        </w:r>
      </w:hyperlink>
    </w:p>
    <w:p>
      <w:pPr>
        <w:pStyle w:val="Bibliography"/>
        <w:rPr/>
      </w:pPr>
      <w:r>
        <w:rPr/>
        <w:t xml:space="preserve">Post-publication criticism is crucial, but should be constructive. (2016). </w:t>
      </w:r>
      <w:r>
        <w:rPr>
          <w:i/>
        </w:rPr>
        <w:t>Nature</w:t>
      </w:r>
      <w:r>
        <w:rPr/>
        <w:t xml:space="preserve">, </w:t>
      </w:r>
      <w:r>
        <w:rPr>
          <w:i/>
        </w:rPr>
        <w:t>540</w:t>
      </w:r>
      <w:r>
        <w:rPr/>
        <w:t xml:space="preserve">(7631), 7–8. </w:t>
      </w:r>
      <w:hyperlink r:id="rId43">
        <w:r>
          <w:rPr>
            <w:rStyle w:val="InternetLink"/>
          </w:rPr>
          <w:t>http://doi.org/10.1038/540007b</w:t>
        </w:r>
      </w:hyperlink>
    </w:p>
    <w:p>
      <w:pPr>
        <w:pStyle w:val="Bibliography"/>
        <w:rPr/>
      </w:pPr>
      <w:r>
        <w:rPr/>
        <w:t xml:space="preserve">Sijtsma, K. (2015). Playing with dataOr how to discourage questionable research practices and stimulate researchers to do things right. </w:t>
      </w:r>
      <w:r>
        <w:rPr>
          <w:i/>
        </w:rPr>
        <w:t>Psychometrika</w:t>
      </w:r>
      <w:r>
        <w:rPr/>
        <w:t xml:space="preserve">, </w:t>
      </w:r>
      <w:r>
        <w:rPr>
          <w:i/>
        </w:rPr>
        <w:t>81</w:t>
      </w:r>
      <w:r>
        <w:rPr/>
        <w:t xml:space="preserve">(1), 1–15. </w:t>
      </w:r>
      <w:hyperlink r:id="rId44">
        <w:r>
          <w:rPr>
            <w:rStyle w:val="InternetLink"/>
          </w:rPr>
          <w:t>http://doi.org/10.1007/s11336-015-9446-0</w:t>
        </w:r>
      </w:hyperlink>
    </w:p>
    <w:p>
      <w:pPr>
        <w:pStyle w:val="Bibliography"/>
        <w:rPr/>
      </w:pPr>
      <w:r>
        <w:rPr/>
        <w:t xml:space="preserve">Simonsohn, U. (2013). Just post it. </w:t>
      </w:r>
      <w:r>
        <w:rPr>
          <w:i/>
        </w:rPr>
        <w:t>Psychological Science</w:t>
      </w:r>
      <w:r>
        <w:rPr/>
        <w:t xml:space="preserve">, </w:t>
      </w:r>
      <w:r>
        <w:rPr>
          <w:i/>
        </w:rPr>
        <w:t>24</w:t>
      </w:r>
      <w:r>
        <w:rPr/>
        <w:t xml:space="preserve">(10), 1875–1888. </w:t>
      </w:r>
      <w:hyperlink r:id="rId45">
        <w:r>
          <w:rPr>
            <w:rStyle w:val="InternetLink"/>
          </w:rPr>
          <w:t>http://doi.org/10.1177/0956797613480366</w:t>
        </w:r>
      </w:hyperlink>
    </w:p>
    <w:p>
      <w:pPr>
        <w:pStyle w:val="Bibliography"/>
        <w:rPr/>
      </w:pPr>
      <w:r>
        <w:rPr/>
        <w:t xml:space="preserve">Stapel, D. (2014). </w:t>
      </w:r>
      <w:r>
        <w:rPr>
          <w:i/>
        </w:rPr>
        <w:t>Ontsporing [derailment]</w:t>
      </w:r>
      <w:r>
        <w:rPr/>
        <w:t>.</w:t>
      </w:r>
    </w:p>
    <w:p>
      <w:pPr>
        <w:pStyle w:val="Bibliography"/>
        <w:rPr/>
      </w:pPr>
      <w:r>
        <w:rPr/>
        <w:t xml:space="preserve">Stevens, S. S. (1946). On the theory of scales of measurement. </w:t>
      </w:r>
      <w:r>
        <w:rPr>
          <w:i/>
        </w:rPr>
        <w:t>Science</w:t>
      </w:r>
      <w:r>
        <w:rPr/>
        <w:t xml:space="preserve">, </w:t>
      </w:r>
      <w:r>
        <w:rPr>
          <w:i/>
        </w:rPr>
        <w:t>103</w:t>
      </w:r>
      <w:r>
        <w:rPr/>
        <w:t xml:space="preserve">(2684), 677–680. </w:t>
      </w:r>
      <w:hyperlink r:id="rId46">
        <w:r>
          <w:rPr>
            <w:rStyle w:val="InternetLink"/>
          </w:rPr>
          <w:t>http://doi.org/10.1126/science.103.2684.677</w:t>
        </w:r>
      </w:hyperlink>
    </w:p>
    <w:p>
      <w:pPr>
        <w:pStyle w:val="Bibliography"/>
        <w:rPr/>
      </w:pPr>
      <w:r>
        <w:rPr/>
        <w:t xml:space="preserve">The Journal of Cell Biology. (2015). About the Journal. Retrieved from </w:t>
      </w:r>
      <w:hyperlink r:id="rId47">
        <w:r>
          <w:rPr>
            <w:rStyle w:val="InternetLink"/>
          </w:rPr>
          <w:t>https://web.archive.org/web/20150911132421/http://jcb.rupress.org/site/misc/about.xhtml</w:t>
        </w:r>
      </w:hyperlink>
    </w:p>
    <w:p>
      <w:pPr>
        <w:pStyle w:val="Bibliography"/>
        <w:rPr/>
      </w:pPr>
      <w:r>
        <w:rPr/>
        <w:t xml:space="preserve">Tversky, A., &amp; Kahneman, D. (1971). Belief in the law of small numbers. </w:t>
      </w:r>
      <w:r>
        <w:rPr>
          <w:i/>
        </w:rPr>
        <w:t>Psychological Bulletin</w:t>
      </w:r>
      <w:r>
        <w:rPr/>
        <w:t xml:space="preserve">, </w:t>
      </w:r>
      <w:r>
        <w:rPr>
          <w:i/>
        </w:rPr>
        <w:t>76</w:t>
      </w:r>
      <w:r>
        <w:rPr/>
        <w:t xml:space="preserve">(2), 105–110. </w:t>
      </w:r>
      <w:hyperlink r:id="rId48">
        <w:r>
          <w:rPr>
            <w:rStyle w:val="InternetLink"/>
          </w:rPr>
          <w:t>http://doi.org/10.1037/h0031322</w:t>
        </w:r>
      </w:hyperlink>
    </w:p>
    <w:p>
      <w:pPr>
        <w:pStyle w:val="Bibliography"/>
        <w:spacing w:before="0" w:after="200"/>
        <w:rPr/>
      </w:pPr>
      <w:r>
        <w:rPr/>
        <w:t xml:space="preserve">Tversky, A., &amp; Kahneman, D. (1974). Judgment under uncertainty: Heuristics and biases. </w:t>
      </w:r>
      <w:r>
        <w:rPr>
          <w:i/>
        </w:rPr>
        <w:t>Science</w:t>
      </w:r>
      <w:r>
        <w:rPr/>
        <w:t xml:space="preserve">, </w:t>
      </w:r>
      <w:r>
        <w:rPr>
          <w:i/>
        </w:rPr>
        <w:t>185</w:t>
      </w:r>
      <w:r>
        <w:rPr/>
        <w:t xml:space="preserve">(4157), 1124–1131. </w:t>
      </w:r>
      <w:hyperlink r:id="rId49">
        <w:r>
          <w:rPr>
            <w:rStyle w:val="InternetLink"/>
          </w:rPr>
          <w:t>http://doi.org/10.1126/science.185.4157.1124</w:t>
        </w:r>
      </w:hyperlink>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peer.com/" TargetMode="External"/><Relationship Id="rId3" Type="http://schemas.openxmlformats.org/officeDocument/2006/relationships/image" Target="media/image1.png"/><Relationship Id="rId4" Type="http://schemas.openxmlformats.org/officeDocument/2006/relationships/hyperlink" Target="https://osf.io/b24pq" TargetMode="External"/><Relationship Id="rId5" Type="http://schemas.openxmlformats.org/officeDocument/2006/relationships/hyperlink" Target="https://osf.io/ejf5x" TargetMode="External"/><Relationship Id="rId6" Type="http://schemas.openxmlformats.org/officeDocument/2006/relationships/hyperlink" Target="https://osf.io/pqf9r" TargetMode="External"/><Relationship Id="rId7" Type="http://schemas.openxmlformats.org/officeDocument/2006/relationships/hyperlink" Target="https://osf.io/s4w8r" TargetMode="External"/><Relationship Id="rId8" Type="http://schemas.openxmlformats.org/officeDocument/2006/relationships/hyperlink" Target="https://osf.io/w984b" TargetMode="External"/><Relationship Id="rId9" Type="http://schemas.openxmlformats.org/officeDocument/2006/relationships/hyperlink" Target="https://osf.io/w6v4u" TargetMode="External"/><Relationship Id="rId10" Type="http://schemas.openxmlformats.org/officeDocument/2006/relationships/image" Target="media/image2.png"/><Relationship Id="rId11" Type="http://schemas.openxmlformats.org/officeDocument/2006/relationships/hyperlink" Target="https://osf.io/w6v4u/" TargetMode="External"/><Relationship Id="rId12" Type="http://schemas.openxmlformats.org/officeDocument/2006/relationships/hyperlink" Target="https://osf.io/pqf9r" TargetMode="External"/><Relationship Id="rId13" Type="http://schemas.openxmlformats.org/officeDocument/2006/relationships/hyperlink" Target="https://osf.io/e6zys" TargetMode="External"/><Relationship Id="rId14" Type="http://schemas.openxmlformats.org/officeDocument/2006/relationships/image" Target="media/image3.png"/><Relationship Id="rId15" Type="http://schemas.openxmlformats.org/officeDocument/2006/relationships/hyperlink" Target="http://doi.org/10.1186/1471-2288-3-18" TargetMode="External"/><Relationship Id="rId16" Type="http://schemas.openxmlformats.org/officeDocument/2006/relationships/hyperlink" Target="http://doi.org/10.1136/bmj.311.7003.485" TargetMode="External"/><Relationship Id="rId17" Type="http://schemas.openxmlformats.org/officeDocument/2006/relationships/hyperlink" Target="http://doi.org/10.7287/peerj.preprints.2400v1" TargetMode="External"/><Relationship Id="rId18" Type="http://schemas.openxmlformats.org/officeDocument/2006/relationships/hyperlink" Target="http://wayback.archive.org/web/20170511084213/https://retractionwatch.files.wordpress.com/2014/04/report_foerster.pdf" TargetMode="External"/><Relationship Id="rId19" Type="http://schemas.openxmlformats.org/officeDocument/2006/relationships/hyperlink" Target="http://doi.org/10.1016/0197-2456(91)90037-m" TargetMode="External"/><Relationship Id="rId20" Type="http://schemas.openxmlformats.org/officeDocument/2006/relationships/hyperlink" Target="http://doi.org/10.1038/540151a" TargetMode="External"/><Relationship Id="rId21" Type="http://schemas.openxmlformats.org/officeDocument/2006/relationships/hyperlink" Target="http://doi.org/10.1128/mbio.00809-16" TargetMode="External"/><Relationship Id="rId22" Type="http://schemas.openxmlformats.org/officeDocument/2006/relationships/hyperlink" Target="http://web.stanford.edu/~dbroock/broockman_kalla_aronow_lg_irregularities.pdf" TargetMode="External"/><Relationship Id="rId23" Type="http://schemas.openxmlformats.org/officeDocument/2006/relationships/hyperlink" Target="http://doi.org/10.7287/peerj.preprints.2064v1" TargetMode="External"/><Relationship Id="rId24" Type="http://schemas.openxmlformats.org/officeDocument/2006/relationships/hyperlink" Target="http://doi.org/10.1002/(SICI)1097-0258(19991230)18:24&lt;3435::AID-SIM365&gt;3.0.CO;2-O" TargetMode="External"/><Relationship Id="rId25" Type="http://schemas.openxmlformats.org/officeDocument/2006/relationships/hyperlink" Target="http://doi.org/10.1111/j.1365-2044.2012.07128.x" TargetMode="External"/><Relationship Id="rId26" Type="http://schemas.openxmlformats.org/officeDocument/2006/relationships/hyperlink" Target="http://doi.org/10.1111/anae.13126" TargetMode="External"/><Relationship Id="rId27" Type="http://schemas.openxmlformats.org/officeDocument/2006/relationships/hyperlink" Target="http://doi.org/10.1371/journal.pone.0005738" TargetMode="External"/><Relationship Id="rId28" Type="http://schemas.openxmlformats.org/officeDocument/2006/relationships/hyperlink" Target="http://doi.org/10.1053/j.seminhematol.2008.04.003" TargetMode="External"/><Relationship Id="rId29" Type="http://schemas.openxmlformats.org/officeDocument/2006/relationships/hyperlink" Target="http://doi.org/10.7326/0003-4819-130-12-199906150-00008" TargetMode="External"/><Relationship Id="rId30" Type="http://schemas.openxmlformats.org/officeDocument/2006/relationships/hyperlink" Target="http://wayback.archive.org/web/20170206144438/http://www.archim.org.uk/eureka/27/faking.html" TargetMode="External"/><Relationship Id="rId31" Type="http://schemas.openxmlformats.org/officeDocument/2006/relationships/hyperlink" Target="http://doi.org/10.1148/radiology.143.1.7063747" TargetMode="External"/><Relationship Id="rId32" Type="http://schemas.openxmlformats.org/officeDocument/2006/relationships/hyperlink" Target="http://doi.org/10.7717/peerj.1935" TargetMode="External"/><Relationship Id="rId33" Type="http://schemas.openxmlformats.org/officeDocument/2006/relationships/hyperlink" Target="http://doi.org/10.3897/rio.1.e7462" TargetMode="External"/><Relationship Id="rId34" Type="http://schemas.openxmlformats.org/officeDocument/2006/relationships/hyperlink" Target="http://doi.org/10.3758/bf03213921" TargetMode="External"/><Relationship Id="rId35" Type="http://schemas.openxmlformats.org/officeDocument/2006/relationships/hyperlink" Target="http://doi.org/10.1037/e722982011-058" TargetMode="External"/><Relationship Id="rId36" Type="http://schemas.openxmlformats.org/officeDocument/2006/relationships/hyperlink" Target="http://wayback.archive.org/web/20170515092023/https://hackernoon.com/introducing-sprite-and-the-case-of-the-carthorse-child-58683c2bfeb?gi=66761f959132" TargetMode="External"/><Relationship Id="rId37" Type="http://schemas.openxmlformats.org/officeDocument/2006/relationships/hyperlink" Target="http://doi.org/10.1027/1864-9335/a000178" TargetMode="External"/><Relationship Id="rId38" Type="http://schemas.openxmlformats.org/officeDocument/2006/relationships/hyperlink" Target="http://doi.org/10.1007/s11948-016-9841-7" TargetMode="External"/><Relationship Id="rId39" Type="http://schemas.openxmlformats.org/officeDocument/2006/relationships/hyperlink" Target="http://doi.org/10.3758/s13428-015-0664-2" TargetMode="External"/><Relationship Id="rId40" Type="http://schemas.openxmlformats.org/officeDocument/2006/relationships/hyperlink" Target="http://wayback.archive.org/web/20170206163805/http://retractionwatch.com/the-retraction-watch-leaderboard/" TargetMode="External"/><Relationship Id="rId41" Type="http://schemas.openxmlformats.org/officeDocument/2006/relationships/hyperlink" Target="http://doi.org/10.1186/s41073-016-0012-9" TargetMode="External"/><Relationship Id="rId42" Type="http://schemas.openxmlformats.org/officeDocument/2006/relationships/hyperlink" Target="http://doi.org/10.1109/13.28038" TargetMode="External"/><Relationship Id="rId43" Type="http://schemas.openxmlformats.org/officeDocument/2006/relationships/hyperlink" Target="http://doi.org/10.1038/540007b" TargetMode="External"/><Relationship Id="rId44" Type="http://schemas.openxmlformats.org/officeDocument/2006/relationships/hyperlink" Target="http://doi.org/10.1007/s11336-015-9446-0" TargetMode="External"/><Relationship Id="rId45" Type="http://schemas.openxmlformats.org/officeDocument/2006/relationships/hyperlink" Target="http://doi.org/10.1177/0956797613480366" TargetMode="External"/><Relationship Id="rId46" Type="http://schemas.openxmlformats.org/officeDocument/2006/relationships/hyperlink" Target="http://doi.org/10.1126/science.103.2684.677" TargetMode="External"/><Relationship Id="rId47" Type="http://schemas.openxmlformats.org/officeDocument/2006/relationships/hyperlink" Target="https://web.archive.org/web/20150911132421/http://jcb.rupress.org/site/misc/about.xhtml" TargetMode="External"/><Relationship Id="rId48" Type="http://schemas.openxmlformats.org/officeDocument/2006/relationships/hyperlink" Target="http://doi.org/10.1037/h0031322" TargetMode="External"/><Relationship Id="rId49" Type="http://schemas.openxmlformats.org/officeDocument/2006/relationships/hyperlink" Target="http://doi.org/10.1126/science.185.4157.1124" TargetMode="Externa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LibreOffice/5.2.6.2$Linux_X86_64 LibreOffice_project/20$Build-2</Application>
  <Pages>18</Pages>
  <Words>5457</Words>
  <Characters>33095</Characters>
  <CharactersWithSpaces>38710</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2017-05-17T07:51:38Z</dcterms:created>
  <dc:creator>Chris HJ Hartgerink, Jan G Voelkel, Jelte M Wicherts, Marcel ALM van Assen</dc:creator>
  <dc:description/>
  <dc:language>en-US</dc:language>
  <cp:lastModifiedBy/>
  <dcterms:modified xsi:type="dcterms:W3CDTF">2017-05-17T09:59:12Z</dcterms:modified>
  <cp:revision>1</cp:revision>
  <dc:subject/>
  <dc:title>Ecological performance of detecting data fabrication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