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BF0960">
        <w:t xml:space="preserve"> </w:t>
      </w:r>
      <w:r w:rsidR="00BF0960">
        <w:t>¶</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BF0960">
        <w:t xml:space="preserve"> </w:t>
      </w:r>
      <w:r w:rsidR="00BF0960">
        <w:t>¶</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7234606D"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3BFEF30E"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2D2235F6" w14:textId="3FED53A4" w:rsidR="000E040E" w:rsidRDefault="002333F5" w:rsidP="002F39CE">
      <w:pPr>
        <w:spacing w:after="0" w:line="480" w:lineRule="auto"/>
        <w:ind w:firstLine="567"/>
        <w:rPr>
          <w:rFonts w:ascii="Times New Roman" w:hAnsi="Times New Roman" w:cs="Times New Roman"/>
          <w:sz w:val="24"/>
          <w:szCs w:val="24"/>
        </w:rPr>
      </w:pPr>
      <w:r w:rsidRPr="002333F5">
        <w:rPr>
          <w:rFonts w:ascii="Times New Roman" w:hAnsi="Times New Roman" w:cs="Times New Roman"/>
          <w:sz w:val="24"/>
          <w:szCs w:val="24"/>
        </w:rPr>
        <w:t xml:space="preserve">Cyberball was </w:t>
      </w:r>
      <w:r w:rsidR="00A5130A">
        <w:rPr>
          <w:rFonts w:ascii="Times New Roman" w:hAnsi="Times New Roman" w:cs="Times New Roman"/>
          <w:sz w:val="24"/>
          <w:szCs w:val="24"/>
        </w:rPr>
        <w:t>introduced</w:t>
      </w:r>
      <w:r w:rsidR="00A5130A" w:rsidRPr="002333F5">
        <w:rPr>
          <w:rFonts w:ascii="Times New Roman" w:hAnsi="Times New Roman" w:cs="Times New Roman"/>
          <w:sz w:val="24"/>
          <w:szCs w:val="24"/>
        </w:rPr>
        <w:t xml:space="preserve"> </w:t>
      </w:r>
      <w:r w:rsidRPr="002333F5">
        <w:rPr>
          <w:rFonts w:ascii="Times New Roman" w:hAnsi="Times New Roman" w:cs="Times New Roman"/>
          <w:sz w:val="24"/>
          <w:szCs w:val="24"/>
        </w:rPr>
        <w:t xml:space="preserve">in </w:t>
      </w:r>
      <w:r>
        <w:rPr>
          <w:rFonts w:ascii="Times New Roman" w:hAnsi="Times New Roman" w:cs="Times New Roman"/>
          <w:sz w:val="24"/>
          <w:szCs w:val="24"/>
        </w:rPr>
        <w:t>2000</w:t>
      </w:r>
      <w:r w:rsidRPr="002333F5">
        <w:rPr>
          <w:rFonts w:ascii="Times New Roman" w:hAnsi="Times New Roman" w:cs="Times New Roman"/>
          <w:sz w:val="24"/>
          <w:szCs w:val="24"/>
        </w:rPr>
        <w:t xml:space="preserve"> </w:t>
      </w:r>
      <w:r w:rsidR="00A5130A">
        <w:rPr>
          <w:rFonts w:ascii="Times New Roman" w:hAnsi="Times New Roman" w:cs="Times New Roman"/>
          <w:sz w:val="24"/>
          <w:szCs w:val="24"/>
        </w:rPr>
        <w:t>as a means</w:t>
      </w:r>
      <w:r w:rsidRPr="002333F5">
        <w:rPr>
          <w:rFonts w:ascii="Times New Roman" w:hAnsi="Times New Roman" w:cs="Times New Roman"/>
          <w:sz w:val="24"/>
          <w:szCs w:val="24"/>
        </w:rPr>
        <w:t xml:space="preserve"> to study ostracism – i.e., being excluded and ignored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Pr>
          <w:rFonts w:ascii="Times New Roman" w:hAnsi="Times New Roman" w:cs="Times New Roman"/>
          <w:sz w:val="24"/>
          <w:szCs w:val="24"/>
        </w:rPr>
        <w:fldChar w:fldCharType="end"/>
      </w:r>
      <w:r w:rsidRPr="002333F5">
        <w:rPr>
          <w:rFonts w:ascii="Times New Roman" w:hAnsi="Times New Roman" w:cs="Times New Roman"/>
          <w:sz w:val="24"/>
          <w:szCs w:val="24"/>
        </w:rPr>
        <w:t xml:space="preserve">. </w:t>
      </w:r>
      <w:r w:rsidR="00E67499">
        <w:rPr>
          <w:rFonts w:ascii="Times New Roman" w:hAnsi="Times New Roman" w:cs="Times New Roman"/>
          <w:sz w:val="24"/>
          <w:szCs w:val="24"/>
        </w:rPr>
        <w:t>This focus on ostracism makes it a</w:t>
      </w:r>
      <w:r w:rsidR="00A5130A">
        <w:rPr>
          <w:rFonts w:ascii="Times New Roman" w:hAnsi="Times New Roman" w:cs="Times New Roman"/>
          <w:sz w:val="24"/>
          <w:szCs w:val="24"/>
        </w:rPr>
        <w:t>n</w:t>
      </w:r>
      <w:r w:rsidR="00E67499">
        <w:rPr>
          <w:rFonts w:ascii="Times New Roman" w:hAnsi="Times New Roman" w:cs="Times New Roman"/>
          <w:sz w:val="24"/>
          <w:szCs w:val="24"/>
        </w:rPr>
        <w:t xml:space="preserve"> unique paradigm that sets it apart from </w:t>
      </w:r>
      <w:r w:rsidR="00E67499">
        <w:rPr>
          <w:rFonts w:ascii="Times New Roman" w:hAnsi="Times New Roman" w:cs="Times New Roman"/>
          <w:sz w:val="24"/>
          <w:szCs w:val="24"/>
        </w:rPr>
        <w:lastRenderedPageBreak/>
        <w:t>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[2]</w: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t xml:space="preserve">, the get-acquainted paradigm </w:t>
      </w:r>
      <w:r w:rsidR="00F00E92">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[3]</w: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t>, and the autobiographical memory manipulation (i.e., remember a time when you were excluded</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[4]</w:t>
      </w:r>
      <w:r w:rsidR="00637F61">
        <w:rPr>
          <w:rFonts w:ascii="Times New Roman" w:hAnsi="Times New Roman" w:cs="Times New Roman"/>
          <w:sz w:val="24"/>
          <w:szCs w:val="24"/>
        </w:rPr>
        <w:fldChar w:fldCharType="end"/>
      </w:r>
      <w:r w:rsidR="000E040E">
        <w:rPr>
          <w:rFonts w:ascii="Times New Roman" w:hAnsi="Times New Roman" w:cs="Times New Roman"/>
          <w:sz w:val="24"/>
          <w:szCs w:val="24"/>
        </w:rPr>
        <w:t>)</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Cyberball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r w:rsidR="00E67499">
        <w:rPr>
          <w:rFonts w:ascii="Times New Roman" w:hAnsi="Times New Roman" w:cs="Times New Roman"/>
          <w:sz w:val="24"/>
          <w:szCs w:val="24"/>
        </w:rPr>
        <w:t xml:space="preserve">Cyberball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147CDDAF" w14:textId="7EF7CE1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5E5990">
        <w:rPr>
          <w:rFonts w:ascii="Times New Roman" w:hAnsi="Times New Roman" w:cs="Times New Roman"/>
          <w:sz w:val="24"/>
          <w:szCs w:val="24"/>
        </w:rPr>
        <w:t xml:space="preserve"> (intrapersonal effects)</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w:t>
      </w:r>
      <w:r w:rsidR="005E5990">
        <w:rPr>
          <w:rFonts w:ascii="Times New Roman" w:hAnsi="Times New Roman" w:cs="Times New Roman"/>
          <w:sz w:val="24"/>
          <w:szCs w:val="24"/>
        </w:rPr>
        <w:t xml:space="preserve"> (interpersonal effects)</w:t>
      </w:r>
      <w:r w:rsidR="009A195D">
        <w:rPr>
          <w:rFonts w:ascii="Times New Roman" w:hAnsi="Times New Roman" w:cs="Times New Roman"/>
          <w:sz w:val="24"/>
          <w:szCs w:val="24"/>
        </w:rPr>
        <w:t xml:space="preserve">.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[5]</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w:t>
      </w:r>
      <w:r w:rsidR="007425DF" w:rsidRPr="009159AB">
        <w:rPr>
          <w:rFonts w:ascii="Times New Roman" w:hAnsi="Times New Roman" w:cs="Times New Roman"/>
          <w:sz w:val="24"/>
          <w:szCs w:val="24"/>
        </w:rPr>
        <w:lastRenderedPageBreak/>
        <w:t>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4D8E5C5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[12]</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lastRenderedPageBreak/>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3F0F454E"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DD06D8">
        <w:rPr>
          <w:rFonts w:ascii="Times New Roman" w:hAnsi="Times New Roman" w:cs="Times New Roman"/>
          <w:sz w:val="24"/>
          <w:szCs w:val="24"/>
        </w:rPr>
        <w:t>conduct a meta-analyses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purpose we selected all the studies that included an experimentally manipulated moderator variable. Moreover, to </w:t>
      </w:r>
      <w:r>
        <w:rPr>
          <w:rFonts w:ascii="Times New Roman" w:hAnsi="Times New Roman" w:cs="Times New Roman"/>
          <w:sz w:val="24"/>
          <w:szCs w:val="24"/>
        </w:rPr>
        <w:t>meta-analyze the interaction term for first and last measure we followed the prediction of the authors in computing this interaction term. 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6AD72C7B"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researchers to decide how to set-up a game of Cyberball and whether effects generalize across age, gender and country of origin. Because p</w:t>
      </w:r>
      <w:r>
        <w:rPr>
          <w:rFonts w:ascii="Times New Roman" w:hAnsi="Times New Roman" w:cs="Times New Roman"/>
          <w:sz w:val="24"/>
          <w:szCs w:val="24"/>
        </w:rPr>
        <w:t xml:space="preserve">rior research has not explicitly manipulated structural aspects in controlled experiments we did not have a specific prediction </w:t>
      </w:r>
      <w:r>
        <w:rPr>
          <w:rFonts w:ascii="Times New Roman" w:hAnsi="Times New Roman" w:cs="Times New Roman"/>
          <w:sz w:val="24"/>
          <w:szCs w:val="24"/>
        </w:rPr>
        <w:lastRenderedPageBreak/>
        <w:t xml:space="preserve">whether increasing the number of players, ball tosses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22B3FEEC"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w:t>
      </w:r>
      <w:r w:rsidR="008E7A40" w:rsidRPr="009159AB">
        <w:rPr>
          <w:rFonts w:ascii="Times New Roman" w:hAnsi="Times New Roman" w:cs="Times New Roman"/>
          <w:sz w:val="24"/>
          <w:szCs w:val="24"/>
        </w:rPr>
        <w:lastRenderedPageBreak/>
        <w:t>belonging, self-esteem, co</w:t>
      </w:r>
      <w:r w:rsidR="00223DA9">
        <w:rPr>
          <w:rFonts w:ascii="Times New Roman" w:hAnsi="Times New Roman" w:cs="Times New Roman"/>
          <w:sz w:val="24"/>
          <w:szCs w:val="24"/>
        </w:rPr>
        <w:t xml:space="preserve">ntrol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by a large extend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48E5218C"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070AC4CC"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w:t>
      </w:r>
      <w:r w:rsidR="00A71357" w:rsidRPr="009159AB">
        <w:rPr>
          <w:rFonts w:ascii="Times New Roman" w:hAnsi="Times New Roman" w:cs="Times New Roman"/>
          <w:sz w:val="24"/>
          <w:szCs w:val="24"/>
        </w:rPr>
        <w:lastRenderedPageBreak/>
        <w:t xml:space="preserve">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r w:rsidRPr="009159AB">
        <w:rPr>
          <w:rFonts w:ascii="Times New Roman" w:hAnsi="Times New Roman" w:cs="Times New Roman"/>
          <w:sz w:val="24"/>
          <w:szCs w:val="24"/>
        </w:rPr>
        <w:lastRenderedPageBreak/>
        <w:t>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5F3B01F4"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7777777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71B7A1F0"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SPSP conference abstracts and personal communication. The Google Scholar alerts were used to keep up to date with new </w:t>
      </w:r>
      <w:r w:rsidRPr="009159AB">
        <w:rPr>
          <w:rFonts w:ascii="Times New Roman" w:hAnsi="Times New Roman" w:cs="Times New Roman"/>
          <w:sz w:val="24"/>
          <w:szCs w:val="24"/>
        </w:rPr>
        <w:lastRenderedPageBreak/>
        <w:t xml:space="preserve">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77777777"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077698E4" w14:textId="77777777" w:rsidR="007B79EA" w:rsidRPr="009159AB" w:rsidRDefault="00E91FED" w:rsidP="00BF0960">
      <w:pPr>
        <w:pStyle w:val="Heading2"/>
      </w:pPr>
      <w:r w:rsidRPr="009159AB">
        <w:t>Coding procedure</w:t>
      </w:r>
    </w:p>
    <w:p w14:paraId="6BD42827" w14:textId="33B6E7FD"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Supplement S1 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w:t>
      </w:r>
      <w:r>
        <w:rPr>
          <w:rFonts w:ascii="Times New Roman" w:hAnsi="Times New Roman" w:cs="Times New Roman"/>
          <w:sz w:val="24"/>
          <w:szCs w:val="24"/>
        </w:rPr>
        <w:lastRenderedPageBreak/>
        <w:t>number of ball tosses used throughout the game, (3) total duration of the game in seconds. 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451E2BB3"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885EF1" w:rsidRPr="009159AB">
        <w:rPr>
          <w:rFonts w:ascii="Times New Roman" w:hAnsi="Times New Roman" w:cs="Times New Roman"/>
          <w:sz w:val="24"/>
          <w:szCs w:val="24"/>
        </w:rPr>
        <w:t xml:space="preserve">, donations to charity, etc.).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 etc.</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129E682E"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w:t>
      </w:r>
      <w:r w:rsidR="000E0198" w:rsidRPr="009159AB">
        <w:rPr>
          <w:rFonts w:ascii="Times New Roman" w:hAnsi="Times New Roman" w:cs="Times New Roman"/>
          <w:sz w:val="24"/>
          <w:szCs w:val="24"/>
        </w:rPr>
        <w:lastRenderedPageBreak/>
        <w:t xml:space="preserve">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7616C6">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7616C6">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7616C6">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7616C6">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7616C6">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7616C6">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7616C6">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7616C6">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7616C6">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7616C6">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7616C6">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7616C6">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7616C6">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29F9F884"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lastRenderedPageBreak/>
        <w:t xml:space="preserve"> </w:t>
      </w:r>
      <w:r w:rsidRPr="009159AB">
        <w:rPr>
          <w:rFonts w:ascii="Times New Roman" w:eastAsia="Times New Roman" w:hAnsi="Times New Roman" w:cs="Times New Roman"/>
          <w:color w:val="000000"/>
          <w:sz w:val="24"/>
          <w:szCs w:val="20"/>
          <w:lang w:eastAsia="nl-NL"/>
        </w:rPr>
        <w:t>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0583BBF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640863D7"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199D8E7C" w14:textId="77777777" w:rsidR="00BF0960" w:rsidRDefault="00BF0960" w:rsidP="00BF0960">
      <w:pPr>
        <w:pStyle w:val="Heading3"/>
      </w:pPr>
      <w:r>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lastRenderedPageBreak/>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6F2D8EF9"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7616C6">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7616C6">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7616C6">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7616C6">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7616C6">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7616C6">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7616C6">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7616C6">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7616C6">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7616C6">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7616C6">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7616C6">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7616C6">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7616C6">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7616C6">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7616C6">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7616C6">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7616C6">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7616C6">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7616C6">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7616C6">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7616C6">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7616C6">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7616C6">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7616C6">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7616C6">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7616C6">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7616C6">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7616C6">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7616C6">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7616C6">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7616C6">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7616C6">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7616C6">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7616C6">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7616C6">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7616C6">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7616C6">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7616C6">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7616C6">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7616C6">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7616C6">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7616C6">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7616C6">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7616C6">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7616C6">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7616C6">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7616C6">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7616C6">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7616C6">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7616C6">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7616C6">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7616C6">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7616C6">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7616C6">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7616C6">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7616C6">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7616C6">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7616C6">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7616C6">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7616C6">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7616C6">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7616C6">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7616C6">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7616C6">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7616C6">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7616C6">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7616C6">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7616C6">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7616C6">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7616C6">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7616C6">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7616C6">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7616C6">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7616C6">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7616C6">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7616C6">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7616C6">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7616C6">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7616C6">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7616C6">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7616C6">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7616C6">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7616C6">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7616C6">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7616C6">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7616C6">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7616C6">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7616C6">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7616C6">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7616C6">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7616C6">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7616C6">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7616C6">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7616C6">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7616C6">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7616C6">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7616C6">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7616C6">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7616C6">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7616C6">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7616C6">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7616C6">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7616C6">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7616C6">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7616C6">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7616C6">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7616C6">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7616C6">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7616C6">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7616C6">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7616C6">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7616C6">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7616C6">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7616C6">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7616C6">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7616C6">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7616C6">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7616C6">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7616C6">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7616C6">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7616C6">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4E2F6E2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BB18DE">
        <w:rPr>
          <w:rFonts w:ascii="Times New Roman" w:hAnsi="Times New Roman" w:cs="Times New Roman"/>
          <w:color w:val="000000"/>
          <w:sz w:val="24"/>
          <w:szCs w:val="20"/>
        </w:rPr>
        <w:t xml:space="preserve"> Supplement S2 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6061B53D"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lastRenderedPageBreak/>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2E13CA1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4712C437"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t>
      </w:r>
      <w:r w:rsidR="00731737" w:rsidRPr="009159AB">
        <w:rPr>
          <w:rFonts w:ascii="Times New Roman" w:hAnsi="Times New Roman" w:cs="Times New Roman"/>
          <w:sz w:val="24"/>
          <w:szCs w:val="24"/>
        </w:rPr>
        <w:lastRenderedPageBreak/>
        <w:t xml:space="preserve">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3FFA421E"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C986FF3"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Fig. 2.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 For lists of studies in each subset, see Supplement</w:t>
      </w:r>
      <w:r w:rsidR="00BB18DE">
        <w:rPr>
          <w:rFonts w:ascii="Times New Roman" w:hAnsi="Times New Roman" w:cs="Times New Roman"/>
          <w:sz w:val="24"/>
          <w:szCs w:val="24"/>
        </w:rPr>
        <w:t xml:space="preserve"> S3</w:t>
      </w:r>
      <w:r w:rsidRPr="009159AB">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00CCAB41"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lastRenderedPageBreak/>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C8281A">
        <w:rPr>
          <w:rFonts w:ascii="Times New Roman" w:hAnsi="Times New Roman" w:cs="Times New Roman"/>
          <w:sz w:val="24"/>
          <w:szCs w:val="24"/>
          <w:vertAlign w:val="superscript"/>
        </w:rPr>
        <w:t>4</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7616C6">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7616C6">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7616C6">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7616C6">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7616C6">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7616C6">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7616C6">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7616C6">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7616C6">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7616C6">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7616C6">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7616C6">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6EB372FF"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lastRenderedPageBreak/>
        <w:t xml:space="preserve">Overall estimates are based on all data, where the rest form subsets. Model indicates that the first measure was indeed reflexive and the last measure reflective. Listwise deletion for equal </w:t>
      </w:r>
      <w:r w:rsidRPr="009159AB">
        <w:rPr>
          <w:rFonts w:ascii="Times New Roman" w:eastAsia="Times New Roman" w:hAnsi="Times New Roman" w:cs="Times New Roman"/>
          <w:i/>
          <w:iCs/>
          <w:color w:val="000000"/>
          <w:sz w:val="24"/>
          <w:szCs w:val="24"/>
          <w:lang w:eastAsia="nl-NL"/>
        </w:rPr>
        <w:t>k</w:t>
      </w:r>
      <w:r w:rsidRPr="009159AB">
        <w:rPr>
          <w:rFonts w:ascii="Times New Roman" w:eastAsia="Times New Roman" w:hAnsi="Times New Roman" w:cs="Times New Roman"/>
          <w:iCs/>
          <w:color w:val="000000"/>
          <w:sz w:val="24"/>
          <w:szCs w:val="24"/>
          <w:lang w:eastAsia="nl-NL"/>
        </w:rPr>
        <w:t xml:space="preserve">s across time points within a subset yielded highly similar results, except for interpersonal measures, which is depicted in the row labeled </w:t>
      </w:r>
      <w:r w:rsidRPr="009159AB">
        <w:rPr>
          <w:rFonts w:ascii="Times New Roman" w:eastAsia="Times New Roman" w:hAnsi="Times New Roman" w:cs="Times New Roman"/>
          <w:color w:val="000000"/>
          <w:sz w:val="24"/>
          <w:szCs w:val="24"/>
          <w:lang w:eastAsia="nl-NL"/>
        </w:rPr>
        <w:t>T1</w:t>
      </w:r>
      <w:r w:rsidRPr="009159AB">
        <w:rPr>
          <w:rFonts w:ascii="Times New Roman" w:eastAsia="Times New Roman" w:hAnsi="Times New Roman" w:cs="Times New Roman"/>
          <w:color w:val="000000"/>
          <w:sz w:val="24"/>
          <w:szCs w:val="24"/>
          <w:vertAlign w:val="subscript"/>
          <w:lang w:eastAsia="nl-NL"/>
        </w:rPr>
        <w:t>listwise</w:t>
      </w:r>
      <w:r w:rsidRPr="009159AB">
        <w:rPr>
          <w:rFonts w:ascii="Times New Roman" w:eastAsia="Times New Roman" w:hAnsi="Times New Roman" w:cs="Times New Roman"/>
          <w:color w:val="000000"/>
          <w:sz w:val="24"/>
          <w:szCs w:val="24"/>
          <w:lang w:eastAsia="nl-NL"/>
        </w:rPr>
        <w:t>.</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67BE153B" w:rsidR="00512781"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xml:space="preserve">. </w:t>
      </w:r>
    </w:p>
    <w:p w14:paraId="6C71A82E" w14:textId="1C2AA884"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7616C6">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7616C6">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7616C6">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7616C6">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7616C6">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7616C6">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7616C6">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7616C6">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7616C6">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7616C6">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7616C6">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7616C6">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7616C6">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7616C6">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7616C6">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7616C6">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7616C6">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7616C6">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7616C6">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2652CCCF"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A93033">
        <w:rPr>
          <w:rFonts w:ascii="Times New Roman" w:hAnsi="Times New Roman" w:cs="Times New Roman"/>
          <w:sz w:val="24"/>
          <w:szCs w:val="24"/>
          <w:vertAlign w:val="superscript"/>
        </w:rPr>
        <w:t>5</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7616C6">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7616C6">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7616C6">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7616C6">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7616C6">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7616C6">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7616C6">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7616C6">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7616C6">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7616C6">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7616C6">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7616C6">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7616C6">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7616C6">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7616C6">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7616C6">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7616C6">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7616C6">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w:t>
      </w:r>
      <w:r w:rsidR="00731737" w:rsidRPr="009159AB">
        <w:rPr>
          <w:rFonts w:ascii="Times New Roman" w:hAnsi="Times New Roman" w:cs="Times New Roman"/>
          <w:sz w:val="24"/>
          <w:szCs w:val="24"/>
        </w:rPr>
        <w:lastRenderedPageBreak/>
        <w:t xml:space="preserve">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w:t>
      </w:r>
      <w:r w:rsidR="00232279">
        <w:rPr>
          <w:rFonts w:ascii="Times New Roman" w:hAnsi="Times New Roman" w:cs="Times New Roman"/>
          <w:sz w:val="24"/>
          <w:szCs w:val="24"/>
        </w:rPr>
        <w:lastRenderedPageBreak/>
        <w:t xml:space="preserve">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0E68DACA"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2)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r w:rsidR="00A93033">
        <w:rPr>
          <w:rFonts w:ascii="Times New Roman" w:hAnsi="Times New Roman" w:cs="Times New Roman"/>
          <w:sz w:val="24"/>
          <w:szCs w:val="24"/>
          <w:vertAlign w:val="superscript"/>
        </w:rPr>
        <w:t>6</w:t>
      </w:r>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lastRenderedPageBreak/>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07ADC514"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 xml:space="preserve">We found no indication that culture predicted the average effect size. In our coded studies, approximately 52% were from the United States, 45% from other Western countries (e.g., Australia, the Netherlands, Germany)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5A9F145B"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w:t>
      </w:r>
      <w:r w:rsidR="00B66333" w:rsidRPr="009159AB">
        <w:rPr>
          <w:rFonts w:ascii="Times New Roman" w:hAnsi="Times New Roman" w:cs="Times New Roman"/>
          <w:sz w:val="24"/>
          <w:szCs w:val="24"/>
        </w:rPr>
        <w:lastRenderedPageBreak/>
        <w:t xml:space="preserve">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4910AF28"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w:t>
      </w:r>
      <w:r w:rsidR="001E56BA">
        <w:rPr>
          <w:rFonts w:ascii="Times New Roman" w:hAnsi="Times New Roman" w:cs="Times New Roman"/>
          <w:sz w:val="24"/>
          <w:szCs w:val="24"/>
        </w:rPr>
        <w:lastRenderedPageBreak/>
        <w:t xml:space="preserve">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78794D41"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w:t>
      </w:r>
      <w:r w:rsidR="00172E4E" w:rsidRPr="009159AB">
        <w:rPr>
          <w:rFonts w:ascii="Times New Roman" w:hAnsi="Times New Roman" w:cs="Times New Roman"/>
          <w:sz w:val="24"/>
          <w:szCs w:val="24"/>
        </w:rPr>
        <w:lastRenderedPageBreak/>
        <w:t>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0CA44AA8"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i.e.,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lastRenderedPageBreak/>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731737" w:rsidRPr="009159AB">
        <w:rPr>
          <w:rFonts w:ascii="Times New Roman" w:hAnsi="Times New Roman" w:cs="Times New Roman"/>
          <w:sz w:val="24"/>
          <w:szCs w:val="24"/>
        </w:rPr>
        <w:t xml:space="preserve">variable to begin with,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0928A6B4" w:rsidR="004C2069" w:rsidRPr="009159AB" w:rsidRDefault="00393E43">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Importantly, we did observe that the confidence intervals of both the first and last measure did not overlap, suggesting that there is a qualitative difference in effect size between first and last measure. The question then is whether this difference is indeed caused by time of measurement or in part caused by the type of measurement used across the two different time points. </w:t>
      </w:r>
      <w:r w:rsidR="00B03FA4">
        <w:rPr>
          <w:rFonts w:ascii="Times New Roman" w:hAnsi="Times New Roman" w:cs="Times New Roman"/>
          <w:sz w:val="24"/>
          <w:szCs w:val="24"/>
        </w:rPr>
        <w:t xml:space="preserve">This explanation can be addressed by creating a difference index in which </w:t>
      </w:r>
      <w:r w:rsidR="003D4F62">
        <w:rPr>
          <w:rFonts w:ascii="Times New Roman" w:hAnsi="Times New Roman" w:cs="Times New Roman"/>
          <w:sz w:val="24"/>
          <w:szCs w:val="24"/>
        </w:rPr>
        <w:t>t</w:t>
      </w:r>
      <w:r w:rsidR="004C2069"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004C2069"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004C2069"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004C2069"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004C2069" w:rsidRPr="009159AB">
        <w:rPr>
          <w:rFonts w:ascii="Times New Roman" w:hAnsi="Times New Roman" w:cs="Times New Roman"/>
          <w:sz w:val="24"/>
          <w:szCs w:val="24"/>
        </w:rPr>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004C2069"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004C2069"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004C2069"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004C2069" w:rsidRPr="009159AB">
        <w:rPr>
          <w:rFonts w:ascii="Times New Roman" w:hAnsi="Times New Roman" w:cs="Times New Roman"/>
          <w:sz w:val="24"/>
          <w:szCs w:val="24"/>
        </w:rPr>
        <w:t>effect of this difference (</w:t>
      </w:r>
      <w:r w:rsidR="004C2069" w:rsidRPr="009159AB">
        <w:rPr>
          <w:rFonts w:ascii="Times New Roman" w:hAnsi="Times New Roman" w:cs="Times New Roman"/>
          <w:i/>
          <w:sz w:val="24"/>
          <w:szCs w:val="24"/>
        </w:rPr>
        <w:t>b</w:t>
      </w:r>
      <w:r w:rsidR="004C2069"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004C2069" w:rsidRPr="009159AB">
        <w:rPr>
          <w:rFonts w:ascii="Times New Roman" w:hAnsi="Times New Roman" w:cs="Times New Roman"/>
          <w:sz w:val="24"/>
          <w:szCs w:val="24"/>
        </w:rPr>
        <w:t xml:space="preserve">, </w:t>
      </w:r>
      <w:r w:rsidR="004C2069" w:rsidRPr="009159AB">
        <w:rPr>
          <w:rFonts w:ascii="Times New Roman" w:hAnsi="Times New Roman" w:cs="Times New Roman"/>
          <w:i/>
          <w:sz w:val="24"/>
          <w:szCs w:val="24"/>
        </w:rPr>
        <w:t>p</w:t>
      </w:r>
      <w:r w:rsidR="004C2069"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004C2069"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004C2069" w:rsidRPr="009159AB">
        <w:rPr>
          <w:rFonts w:ascii="Times New Roman" w:hAnsi="Times New Roman" w:cs="Times New Roman"/>
          <w:sz w:val="24"/>
          <w:szCs w:val="24"/>
        </w:rPr>
        <w:t xml:space="preserve">. </w:t>
      </w:r>
      <w:r>
        <w:rPr>
          <w:rFonts w:ascii="Times New Roman" w:hAnsi="Times New Roman" w:cs="Times New Roman"/>
          <w:sz w:val="24"/>
          <w:szCs w:val="24"/>
        </w:rPr>
        <w:t>Also, i</w:t>
      </w:r>
      <w:r w:rsidR="000138B8" w:rsidRPr="009159AB">
        <w:rPr>
          <w:rFonts w:ascii="Times New Roman" w:hAnsi="Times New Roman" w:cs="Times New Roman"/>
          <w:sz w:val="24"/>
          <w:szCs w:val="24"/>
        </w:rPr>
        <w:t>nspecting whether the types of measures used across all studies are different, and 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points (maximum discrepancy of 4.9 percentage points). Substantive differences in proportions of measures across time points are minimal</w:t>
      </w:r>
      <w:r>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and </w:t>
      </w:r>
      <w:r>
        <w:rPr>
          <w:rFonts w:ascii="Times New Roman" w:hAnsi="Times New Roman" w:cs="Times New Roman"/>
          <w:sz w:val="24"/>
          <w:szCs w:val="24"/>
        </w:rPr>
        <w:t xml:space="preserve">thus </w:t>
      </w:r>
      <w:r w:rsidR="000138B8" w:rsidRPr="009159AB">
        <w:rPr>
          <w:rFonts w:ascii="Times New Roman" w:hAnsi="Times New Roman" w:cs="Times New Roman"/>
          <w:sz w:val="24"/>
          <w:szCs w:val="24"/>
        </w:rPr>
        <w:t xml:space="preserve">form an unlikely driving force for our findings. </w:t>
      </w:r>
    </w:p>
    <w:p w14:paraId="1A98F282" w14:textId="1AC3B32B"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 xml:space="preserve">e our </w:t>
      </w:r>
      <w:r w:rsidRPr="00091F64">
        <w:rPr>
          <w:rFonts w:ascii="Times New Roman" w:hAnsi="Times New Roman" w:cs="Times New Roman"/>
          <w:sz w:val="24"/>
          <w:szCs w:val="24"/>
        </w:rPr>
        <w:lastRenderedPageBreak/>
        <w:t>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2"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Δ</w:t>
      </w:r>
      <w:r w:rsidR="00D61C6E" w:rsidRPr="009159AB">
        <w:rPr>
          <w:rFonts w:ascii="Times New Roman" w:hAnsi="Times New Roman" w:cs="Times New Roman"/>
          <w:i/>
          <w:sz w:val="24"/>
          <w:szCs w:val="24"/>
          <w:u w:val="single"/>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w:t>
      </w:r>
      <w:r w:rsidRPr="00A93033">
        <w:rPr>
          <w:rFonts w:ascii="Times New Roman" w:hAnsi="Times New Roman" w:cs="Times New Roman"/>
          <w:sz w:val="24"/>
          <w:szCs w:val="24"/>
        </w:rPr>
        <w:lastRenderedPageBreak/>
        <w:t>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162449B3"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first term in the nominator is the ostracism effect and the second term is the ostracism effect in the moderator conditions. This Δ</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5FD0B7CD" wp14:editId="65282DFA">
            <wp:extent cx="1390650" cy="571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inline>
        </w:drawing>
      </w:r>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9. </w:t>
      </w:r>
      <w:r w:rsidRPr="00595722">
        <w:rPr>
          <w:noProof/>
        </w:rPr>
        <w:tab/>
        <w:t>Baumeister RF, Leary MR (1995) The need to belong: desire for interpersonal attachments as a fundamental human motivation. 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10. </w:t>
      </w:r>
      <w:r w:rsidRPr="00595722">
        <w:rPr>
          <w:noProof/>
        </w:rPr>
        <w:tab/>
      </w:r>
      <w:r w:rsidR="00772902">
        <w:rPr>
          <w:noProof/>
        </w:rPr>
        <w:t>*</w:t>
      </w:r>
      <w:r w:rsidRPr="00595722">
        <w:rPr>
          <w:noProof/>
        </w:rPr>
        <w:t xml:space="preserve">Ijzerman H, Gallucci M, Pouw WTJL, Weiβgerber SC, Van Doesum NJ, et al. (2012)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14. </w:t>
      </w:r>
      <w:r w:rsidRPr="00595722">
        <w:rPr>
          <w:noProof/>
        </w:rPr>
        <w:tab/>
        <w:t>Gerber J, Wheeler L (2009) On Being Rejected: A Meta-Analysis of Experimental Research on Rejection. P</w:t>
      </w:r>
      <w:r w:rsidR="00772902">
        <w:rPr>
          <w:noProof/>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15. </w:t>
      </w:r>
      <w:r w:rsidRPr="00595722">
        <w:rPr>
          <w:noProof/>
        </w:rPr>
        <w:tab/>
        <w:t>Cacioppo S, Frum C, Asp E, Weiss RM, Lewis JW, et al. (2013)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40. </w:t>
      </w:r>
      <w:r w:rsidRPr="00595722">
        <w:rPr>
          <w:noProof/>
        </w:rPr>
        <w:tab/>
        <w:t xml:space="preserve">DeWall CN, MacDonald G, Webster GD, Masten CL, Baumeister RF, et al. (2010)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45. </w:t>
      </w:r>
      <w:r w:rsidRPr="00595722">
        <w:rPr>
          <w:noProof/>
        </w:rPr>
        <w:tab/>
        <w:t>Wicherts JM, Borsboom D, Kats J, Molenaar D (2006) The poor availability of psychological research data for reanalysis. 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46. </w:t>
      </w:r>
      <w:r w:rsidRPr="00595722">
        <w:rPr>
          <w:noProof/>
        </w:rPr>
        <w:tab/>
        <w:t xml:space="preserve">LeBel EP, Borsboom D, Giner-Sorolla R, Hasselman F, Peters KR, et al. (2013)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44E20ECF" w14:textId="33B623B2" w:rsidR="0068126D"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Figure 2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413EF49F" w:rsidR="005F190B" w:rsidRPr="005F190B" w:rsidRDefault="005F190B" w:rsidP="00C84E50">
      <w:pPr>
        <w:spacing w:after="0" w:line="480" w:lineRule="auto"/>
        <w:rPr>
          <w:rFonts w:ascii="Times New Roman" w:hAnsi="Times New Roman" w:cs="Times New Roman"/>
          <w:b/>
          <w:sz w:val="24"/>
          <w:szCs w:val="24"/>
        </w:rPr>
      </w:pPr>
      <w:r>
        <w:rPr>
          <w:rFonts w:ascii="Times New Roman" w:hAnsi="Times New Roman" w:cs="Times New Roman"/>
          <w:b/>
          <w:sz w:val="24"/>
          <w:szCs w:val="24"/>
        </w:rPr>
        <w:t>S4 File. PRISMA flow diagram.</w:t>
      </w:r>
      <w:bookmarkStart w:id="0" w:name="_GoBack"/>
      <w:bookmarkEnd w:id="0"/>
    </w:p>
    <w:sectPr w:rsidR="005F190B" w:rsidRPr="005F190B"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21485" w14:textId="77777777" w:rsidR="005A7C54" w:rsidRDefault="005A7C54" w:rsidP="00E87791">
      <w:pPr>
        <w:spacing w:after="0" w:line="240" w:lineRule="auto"/>
      </w:pPr>
      <w:r>
        <w:separator/>
      </w:r>
    </w:p>
  </w:endnote>
  <w:endnote w:type="continuationSeparator" w:id="0">
    <w:p w14:paraId="25FC506B" w14:textId="77777777" w:rsidR="005A7C54" w:rsidRDefault="005A7C54" w:rsidP="00E87791">
      <w:pPr>
        <w:spacing w:after="0" w:line="240" w:lineRule="auto"/>
      </w:pPr>
      <w:r>
        <w:continuationSeparator/>
      </w:r>
    </w:p>
  </w:endnote>
  <w:endnote w:type="continuationNotice" w:id="1">
    <w:p w14:paraId="02FEFF9C" w14:textId="77777777" w:rsidR="005A7C54" w:rsidRDefault="005A7C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74F72" w14:textId="77777777" w:rsidR="005A7C54" w:rsidRDefault="005A7C54" w:rsidP="00E87791">
      <w:pPr>
        <w:spacing w:after="0" w:line="240" w:lineRule="auto"/>
      </w:pPr>
      <w:r>
        <w:separator/>
      </w:r>
    </w:p>
  </w:footnote>
  <w:footnote w:type="continuationSeparator" w:id="0">
    <w:p w14:paraId="4C2F2E50" w14:textId="77777777" w:rsidR="005A7C54" w:rsidRDefault="005A7C54" w:rsidP="00E87791">
      <w:pPr>
        <w:spacing w:after="0" w:line="240" w:lineRule="auto"/>
      </w:pPr>
      <w:r>
        <w:continuationSeparator/>
      </w:r>
    </w:p>
  </w:footnote>
  <w:footnote w:type="continuationNotice" w:id="1">
    <w:p w14:paraId="1B000B55" w14:textId="77777777" w:rsidR="005A7C54" w:rsidRDefault="005A7C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37F61" w:rsidRPr="007A3A95" w:rsidRDefault="00637F61"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5F190B">
      <w:rPr>
        <w:rFonts w:ascii="Times New Roman" w:hAnsi="Times New Roman" w:cs="Times New Roman"/>
        <w:noProof/>
        <w:sz w:val="24"/>
      </w:rPr>
      <w:t>50</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37F61" w:rsidRPr="009D79C3" w:rsidRDefault="00637F61"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5F190B">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A2F"/>
    <w:rsid w:val="002728E3"/>
    <w:rsid w:val="002736F6"/>
    <w:rsid w:val="00275032"/>
    <w:rsid w:val="00275318"/>
    <w:rsid w:val="00276192"/>
    <w:rsid w:val="002763A9"/>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81A"/>
    <w:rsid w:val="00C84E50"/>
    <w:rsid w:val="00C85618"/>
    <w:rsid w:val="00C86A8A"/>
    <w:rsid w:val="00C87E8F"/>
    <w:rsid w:val="00C95474"/>
    <w:rsid w:val="00CA5673"/>
    <w:rsid w:val="00CA7968"/>
    <w:rsid w:val="00CA7BA5"/>
    <w:rsid w:val="00CB08B8"/>
    <w:rsid w:val="00CB22AC"/>
    <w:rsid w:val="00CB3E6B"/>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sf.io/ht25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C632-E3B8-4281-A582-81B1C86BAAEE}">
  <ds:schemaRefs>
    <ds:schemaRef ds:uri="http://schemas.openxmlformats.org/officeDocument/2006/bibliography"/>
  </ds:schemaRefs>
</ds:datastoreItem>
</file>

<file path=customXml/itemProps2.xml><?xml version="1.0" encoding="utf-8"?>
<ds:datastoreItem xmlns:ds="http://schemas.openxmlformats.org/officeDocument/2006/customXml" ds:itemID="{775324BC-D149-4E18-955C-35CBFA72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51</Pages>
  <Words>30136</Words>
  <Characters>171777</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201510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17</cp:revision>
  <cp:lastPrinted>2015-01-06T12:59:00Z</cp:lastPrinted>
  <dcterms:created xsi:type="dcterms:W3CDTF">2015-01-19T13:33:00Z</dcterms:created>
  <dcterms:modified xsi:type="dcterms:W3CDTF">2015-01-26T09:25:00Z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