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60"/>
      </w:pPr>
      <w:r>
        <w:rPr>
          <w:rFonts w:ascii="Calibri" w:cs="Calibri" w:eastAsia="Calibri" w:hAnsi="Calibri"/>
          <w:color w:val="595959"/>
          <w:spacing w:val="40"/>
          <w:sz w:val="22"/>
          <w:szCs w:val="22"/>
        </w:rPr>
        <w:t xml:space="preserve">POLITÉCNICO GRANCOLOMBIANO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Acta de Constitución del Proyecto</w:t>
      </w:r>
    </w:p>
    <w:p>
      <w:pPr>
        <w:spacing w:after="480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Project Charter</w:t>
      </w:r>
    </w:p>
    <w:p>
      <w:pPr>
        <w:pBdr>
          <w:top w:val="single" w:color="1F3864" w:sz="12" w:space="12"/>
        </w:pBdr>
        <w:spacing w:after="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Canvas LMS Automation — Fase 2</w:t>
      </w:r>
    </w:p>
    <w:p>
      <w:pPr>
        <w:spacing w:after="1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Endurecimiento de seguridad, migración a AWS y autenticación 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Código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[CLA-F2]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Versión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[0.1]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[Borrador / En revisión / Aprobado]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[AAAA-MM-DD]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Autor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[Nombre — Practicante, Ingeniería de Sistemas]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Uso interno — no publicar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0. Uso de la plantilla y control del documento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charter fija qué resuelve la Fase 2, para quién, con qué límites y quién la aprueba. Una vez diligenciado no debe superar cuatro páginas.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Reemplace todo texto entre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[corchetes]</w:t>
      </w:r>
      <w:r>
        <w:rPr>
          <w:rFonts w:ascii="Calibri" w:cs="Calibri" w:eastAsia="Calibri" w:hAnsi="Calibri"/>
          <w:sz w:val="22"/>
          <w:szCs w:val="22"/>
        </w:rPr>
        <w:t xml:space="preserve">. Las filas en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cursiva gris</w:t>
      </w:r>
      <w:r>
        <w:rPr>
          <w:rFonts w:ascii="Calibri" w:cs="Calibri" w:eastAsia="Calibri" w:hAnsi="Calibri"/>
          <w:sz w:val="22"/>
          <w:szCs w:val="22"/>
        </w:rPr>
        <w:t xml:space="preserve"> son ejemplos: ajústelas o elimínelas.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un dato no se conoce, regístrelo como pregunta abierta en la sección 5; no lo suponga.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Elimine estas instrucciones antes de enviar el documento a aprobación.</w:t>
      </w:r>
    </w:p>
    <w:p>
      <w:pPr>
        <w:pStyle w:val="Heading2"/>
      </w:pPr>
      <w:r>
        <w:t xml:space="preserve">Ficha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Canvas LMS Automation — Fase 2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Código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[CLA-F2]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Versión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[0.1]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Autor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[Nombre — Practicante, Ingeniería de Sistemas]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Revisor técnico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[Líder técnico]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[Borrador / En revisión / Aprobado]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Uso interno — no publicar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Fecha de aprobación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[AAAA-MM-DD]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685"/>
        <w:gridCol w:w="2059"/>
        <w:gridCol w:w="4493"/>
      </w:tblGrid>
      <w:tr>
        <w:trPr>
          <w:cantSplit/>
          <w:tblHeader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Versión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Autor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[0.1]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[AAAA-MM-DD]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[Nombre]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[Primer borrador]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Problema y objetivos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Redacte en lenguaje de negocio, no técnico: el patrocinador debe entenderlo sin ayuda.</w:t>
      </w:r>
    </w:p>
    <w:p>
      <w:pPr>
        <w:pStyle w:val="Heading2"/>
      </w:pPr>
      <w:r>
        <w:t xml:space="preserve">1.1 Planteamiento del problema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[Tres o cuatro líneas: situación actual → por qué es un problema para la institución → qué ocurre si no se actúa. Sin detalle explotable de vulnerabilidades.]</w:t>
      </w:r>
    </w:p>
    <w:p>
      <w:pPr>
        <w:pStyle w:val="Heading2"/>
      </w:pPr>
      <w:r>
        <w:t xml:space="preserve">1.2 Objetivo general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[Una sola frase con verbo en infinitivo. Ej.: Preparar el aplicativo para ser operado y auditado por la institución antes de AAAA-MM-DD.]</w:t>
      </w:r>
    </w:p>
    <w:p>
      <w:pPr>
        <w:pStyle w:val="Heading2"/>
      </w:pPr>
      <w:r>
        <w:t xml:space="preserve">1.3 Objetivos específicos por frente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685"/>
        <w:gridCol w:w="4118"/>
        <w:gridCol w:w="2808"/>
      </w:tblGrid>
      <w:tr>
        <w:trPr>
          <w:cantSplit/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Frente</w:t>
            </w:r>
          </w:p>
        </w:tc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Objetivo específico (verbo + resultado verificable)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Justificación de negocio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OE-1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 de la API</w:t>
            </w:r>
          </w:p>
        </w:tc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Exigir sesión válida y rol autorizado en el 100 % de los endpoints no públicos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OE-2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Migración a AWS</w:t>
            </w:r>
          </w:p>
        </w:tc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Operar backend, frontend y base de datos en la cuenta AWS institucional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OE-3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SSO con Active Directory</w:t>
            </w:r>
          </w:p>
        </w:tc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Reemplazar el token personal de Canvas como credencial de ingreso por la cuenta institucional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OE-4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</w:t>
            </w:r>
          </w:p>
        </w:tc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Atribuir cada despliegue a un usuario identificado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Alcance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La lista de lo que queda fuera vale tanto como la de lo que entra: es la que frena las solicitudes nuevas a mitad del proyecto.</w:t>
      </w:r>
    </w:p>
    <w:p>
      <w:pPr>
        <w:pStyle w:val="Heading2"/>
      </w:pPr>
      <w:r>
        <w:t xml:space="preserve">2.1 Dentro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808"/>
        <w:gridCol w:w="1872"/>
        <w:gridCol w:w="3931"/>
      </w:tblGrid>
      <w:tr>
        <w:trPr>
          <w:cantSplit/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Elemento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Frente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Descripción breve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A-1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[Seguridad / AWS / SSO]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A-2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A-3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Fuera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3370"/>
        <w:gridCol w:w="3370"/>
        <w:gridCol w:w="1871"/>
      </w:tblGrid>
      <w:tr>
        <w:trPr>
          <w:cantSplit/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Elemento excluido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Motivo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¿Se atiende después?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FA-1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Nuevas funcionalidades de montaje de aulas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La Fase 2 no amplía funcionalidad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[Fase 3 / No]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FA-2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2621"/>
        <w:gridCol w:w="1591"/>
        <w:gridCol w:w="3089"/>
        <w:gridCol w:w="1404"/>
      </w:tblGrid>
      <w:tr>
        <w:trPr>
          <w:cantSplit/>
          <w:tblHeader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Entregable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Formato</w:t>
            </w:r>
          </w:p>
        </w:tc>
        <w:tc>
          <w:tcPr>
            <w:tcW w:type="dxa" w:w="3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Criterio de aceptación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Recibe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E-1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Diagnóstico de seguridad as-is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 privado</w:t>
            </w:r>
          </w:p>
        </w:tc>
        <w:tc>
          <w:tcPr>
            <w:tcW w:type="dxa" w:w="3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Evalúa las 8 reglas de seguridad con severidad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[Rol]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E-2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Aplicativo desplegado en AWS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Ambiente productivo</w:t>
            </w:r>
          </w:p>
        </w:tc>
        <w:tc>
          <w:tcPr>
            <w:tcW w:type="dxa" w:w="3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E-3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Registros de decisiones de arquitectura (ADR)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Markdown en repositorio</w:t>
            </w:r>
          </w:p>
        </w:tc>
        <w:tc>
          <w:tcPr>
            <w:tcW w:type="dxa" w:w="3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E-4</w:t>
            </w:r>
          </w:p>
        </w:tc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Manual de operación para TI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3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Interesados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Cada interesado aporta requerimientos distintos y algunos pueden vetar el proyecto. Identifíquelos primero por rol; el nombre se agrega al confirmarlo. Interés y Poder: A = alto, M = medio, B = bajo.</w:t>
      </w:r>
    </w:p>
    <w:p>
      <w:pPr>
        <w:pStyle w:val="Heading2"/>
      </w:pPr>
      <w:r>
        <w:t xml:space="preserve">3.1 Registro de interesados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1217"/>
        <w:gridCol w:w="1591"/>
        <w:gridCol w:w="1591"/>
        <w:gridCol w:w="936"/>
        <w:gridCol w:w="936"/>
        <w:gridCol w:w="1498"/>
      </w:tblGrid>
      <w:tr>
        <w:trPr>
          <w:cantSplit/>
          <w:tblHeader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Rol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Nombre / área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Qué le importa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Qué decide o puede vetar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Interés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Poder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Estrategia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Aprueba alcance y cierre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Analistas de montaje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el montaje siga tomando ~25 min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 — Infraestructura AWS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Cuenta, red, costos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TI — Active Directory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de la aplicación SSO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Seguridad / Control interno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Trazabilidad, cumplimiento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a producción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Tutor académico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Entregables académicos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Estrategia según poder e interés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La combinación de las columnas Poder e Interés define la estrategia que se registra en la tabla anterior.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Interés bajo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Interés alto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Poder alto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Mantener satisfecho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consultar en las decisiones que lo afectan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Gestionar de cerca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seguimiento frecuente, aprueba entregables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Poder bajo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Monitorear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comunicación mínima, revisar si cambia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Mantener informado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avances periódicos, recoger su opinión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Matriz RACI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 = ejecuta · A = responde por el resultado (uno solo por fila) · C = se consulta antes · I = se informa después.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1123"/>
        <w:gridCol w:w="1123"/>
        <w:gridCol w:w="1123"/>
        <w:gridCol w:w="1123"/>
        <w:gridCol w:w="1124"/>
      </w:tblGrid>
      <w:tr>
        <w:trPr>
          <w:cantSplit/>
          <w:tblHeader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Actividad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Practicante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Líder técnico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 AWS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 AD</w:t>
            </w:r>
          </w:p>
        </w:tc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Aprobar el charter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Diagnóstico de seguridad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Decisiones de arquitectura (ADR)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Provisión de infraestructura AWS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Configuración SSO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Paso a producción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Criterios de éxito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El proyecto termina cuando cada criterio se cumple y alguien distinto al autor puede verificarlo. «Mejorar la seguridad» no es un criterio; «0 endpoints no públicos responden sin sesión» sí lo 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936"/>
        <w:gridCol w:w="1591"/>
        <w:gridCol w:w="2059"/>
        <w:gridCol w:w="1217"/>
        <w:gridCol w:w="936"/>
        <w:gridCol w:w="1966"/>
      </w:tblGrid>
      <w:tr>
        <w:trPr>
          <w:cantSplit/>
          <w:tblHeader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Objetivo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Criterio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Métrica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Línea base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Meta</w:t>
            </w:r>
          </w:p>
        </w:tc>
        <w:tc>
          <w:tcPr>
            <w:tcW w:type="dxa" w:w="1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CE-1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OE-1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Endpoints protegidos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% de endpoints no públicos que exigen sesión y rol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[Medir en diagnóstico]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100 %</w:t>
            </w:r>
          </w:p>
        </w:tc>
        <w:tc>
          <w:tcPr>
            <w:tcW w:type="dxa" w:w="1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automatizada por endpoint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CE-2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OE-2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CE-3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OE-3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CE-4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OE-4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Despliegues atribuidos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% de despliegues con usuario en auditoría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100 %</w:t>
            </w:r>
          </w:p>
        </w:tc>
        <w:tc>
          <w:tcPr>
            <w:tcW w:type="dxa" w:w="1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 al registro de auditoría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CE-5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regresión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Tiempo de montaje por aula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Minutos por aula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min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25 min</w:t>
            </w:r>
          </w:p>
        </w:tc>
        <w:tc>
          <w:tcPr>
            <w:tcW w:type="dxa" w:w="1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Benchmark antes y después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Restricciones, supuestos y dependencias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Una restricción es un límite que no se negocia; un supuesto es algo que se da por cierto sin haberlo confirmado. Todo supuesto lleva responsable y fecha de validación, porque un supuesto falso se convierte en riesgo.</w:t>
      </w:r>
    </w:p>
    <w:p>
      <w:pPr>
        <w:pStyle w:val="Heading2"/>
      </w:pPr>
      <w:r>
        <w:t xml:space="preserve">5.1 Restricciones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498"/>
        <w:gridCol w:w="5242"/>
        <w:gridCol w:w="1871"/>
      </w:tblGrid>
      <w:tr>
        <w:trPr>
          <w:cantSplit/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R-1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Calendario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Cierre dentro del período académico de la práctica: [fecha]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Universidad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R-2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Técnica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El dominio no importa FastAPI, httpx ni SQLite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Arquitectura vigente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R-3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Institucional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Infraestructura solo en la cuenta AWS institucional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[TI]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R-4</w:t>
            </w:r>
          </w:p>
        </w:tc>
        <w:tc>
          <w:tcPr>
            <w:tcW w:type="dxa" w:w="1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Presupuesto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Supuestos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4306"/>
        <w:gridCol w:w="1685"/>
        <w:gridCol w:w="1217"/>
        <w:gridCol w:w="1403"/>
      </w:tblGrid>
      <w:tr>
        <w:trPr>
          <w:cantSplit/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Supuesto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Responsable de validarlo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S-1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TI otorga acceso a una cuenta AWS de desarrollo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[AAAA-MM-DD]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validar]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S-2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Active Directory expone un protocolo de SSO compatible (SAML u OIDC)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validar]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S-3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El token de Canvas sigue siendo necesario para operar contra la API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validar]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2059"/>
        <w:gridCol w:w="3931"/>
        <w:gridCol w:w="1217"/>
        <w:gridCol w:w="1404"/>
      </w:tblGrid>
      <w:tr>
        <w:trPr>
          <w:cantSplit/>
          <w:tblHeader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Dependemos de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Para qué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 requerida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D-1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 — AWS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Provisión de ambientes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validar]</w:t>
            </w:r>
          </w:p>
        </w:tc>
      </w:tr>
      <w:tr>
        <w:trPr>
          <w:cantSplit/>
        </w:trPr>
        <w:tc>
          <w:tcPr>
            <w:tcW w:type="dxa" w:w="7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D-2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 — Active Directory</w:t>
            </w:r>
          </w:p>
        </w:tc>
        <w:tc>
          <w:tcPr>
            <w:tcW w:type="dxa" w:w="3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de la aplicación en el proveedor de identidad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[Por validar]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Preguntas abiertas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[Pregunta pendiente — a quién se le formula]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¿Qué plataforma documental institucional custodia este charter (SharePoint, Teams, otra)?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[ ]</w:t>
      </w:r>
    </w:p>
    <w:p>
      <w:pPr>
        <w:spacing w:after="120"/>
      </w:pPr>
    </w:p>
    <w:p>
      <w:pPr>
        <w:pStyle w:val="Heading1"/>
      </w:pPr>
      <w:r>
        <w:t xml:space="preserve">6. Riesgos iniciales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Redacte cada riesgo como causa → evento → consecuencia, para que la acción ataque la causa. Los riesgos de nivel Crítico o Alto llevan responsable y acción antes de aprobar el charter. Probabilidad e impacto: A = alto, M = medio, B = bajo.</w:t>
      </w:r>
    </w:p>
    <w:p>
      <w:pPr>
        <w:pStyle w:val="Heading2"/>
      </w:pPr>
      <w:r>
        <w:t xml:space="preserve">6.1 Registro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2902"/>
        <w:gridCol w:w="842"/>
        <w:gridCol w:w="842"/>
        <w:gridCol w:w="842"/>
        <w:gridCol w:w="1123"/>
        <w:gridCol w:w="1217"/>
        <w:gridCol w:w="937"/>
      </w:tblGrid>
      <w:tr>
        <w:trPr>
          <w:cantSplit/>
          <w:tblHeader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Riesgo (causa → evento → consecuencia)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Prob.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Impacto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Nivel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Respuesta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Acción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Resp.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RG-1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TI tarda en asignar la cuenta AWS → no hay ambiente → la migración se corre fuera del período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[Mitigar / Evitar / Transferir / Aceptar]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RG-2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AD no permite registrar la aplicación → no hay SSO → se mantiene el token personal como credencial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RG-3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9"/>
                <w:szCs w:val="19"/>
              </w:rPr>
              <w:t xml:space="preserve">Migrar sin endurecer la API → se expone el mismo sistema en otra infraestructura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[A/M/B]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RG-4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8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Matriz para calcular el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2153"/>
        <w:gridCol w:w="2153"/>
        <w:gridCol w:w="2152"/>
      </w:tblGrid>
      <w:tr>
        <w:trPr>
          <w:cantSplit/>
          <w:tblHeader/>
        </w:trPr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Probabilidad \ Impacto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Bajo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Medio</w:t>
            </w:r>
          </w:p>
        </w:tc>
        <w:tc>
          <w:tcPr>
            <w:tcW w:type="dxa" w:w="2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Alto</w:t>
            </w:r>
          </w:p>
        </w:tc>
        <w:tc>
          <w:tcPr>
            <w:tcW w:type="dxa" w:w="2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Crítico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2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2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</w:tr>
    </w:tbl>
    <w:p>
      <w:pPr>
        <w:spacing w:after="120"/>
      </w:pP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Probabilidad alta = es más probable que ocurra a que no. Impacto alto = mueve la fecha de cierre o bloquea un objetivo específico.</w:t>
      </w:r>
    </w:p>
    <w:p>
      <w:pPr>
        <w:pStyle w:val="Heading1"/>
      </w:pPr>
      <w:r>
        <w:t xml:space="preserve">7. Hitos y aprobaciones</w:t>
      </w:r>
    </w:p>
    <w:p>
      <w:pPr>
        <w:keepNext/>
        <w:spacing w:after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En el charter van solo hitos con fecha objetivo y criterio de salida; el cronograma detallado se construye después, con el backlog estimado.</w:t>
      </w:r>
    </w:p>
    <w:p>
      <w:pPr>
        <w:pStyle w:val="Heading2"/>
      </w:pPr>
      <w:r>
        <w:t xml:space="preserve">7.1 Hitos de alto nivel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2808"/>
        <w:gridCol w:w="2902"/>
        <w:gridCol w:w="1404"/>
        <w:gridCol w:w="1591"/>
      </w:tblGrid>
      <w:tr>
        <w:trPr>
          <w:cantSplit/>
          <w:tblHeader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Hito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Criterio de salida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 objetivo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Aprueba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H-1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Charter aprobado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Firmado por el patrocinador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[AAAA-MM-DD]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Patrocinador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H-2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Diagnóstico as-is cerrado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8 reglas evaluadas con severidad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Líder técnico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H-3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Requerimientos y backlog aprobados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H-4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 de la API endurecida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CE-1 cumplido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H-5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SSO operativo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CE-3 cumplido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H-6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Migración a AWS en producción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CE-2 y CE-5 cumplidos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H-7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Cierre y entrega a TI</w:t>
            </w:r>
          </w:p>
        </w:tc>
        <w:tc>
          <w:tcPr>
            <w:tcW w:type="dxa" w:w="2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Manual de operación recibido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 ]</w:t>
            </w:r>
          </w:p>
        </w:tc>
        <w:tc>
          <w:tcPr>
            <w:tcW w:type="dxa" w:w="1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Patrocinador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Aprobaciones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 estas firmas el alcance queda congelado. Todo cambio posterior se tramita mediante solicitud de cambio e incrementa la versión del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59"/>
        <w:gridCol w:w="2059"/>
        <w:gridCol w:w="1310"/>
        <w:gridCol w:w="2060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Rol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Nombre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Decisión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Fecha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Firma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[Aprobado / Con observaciones]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Líder técnico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Representante de TI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Practicante (autor)</w:t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Project Charter — Canvas LMS Automation Fase 2</w:t>
    </w:r>
    <w:r>
      <w:rPr>
        <w:rFonts w:ascii="Calibri" w:cs="Calibri" w:eastAsia="Calibri" w:hAnsi="Calibri"/>
        <w:color w:val="595959"/>
        <w:sz w:val="18"/>
        <w:szCs w:val="18"/>
      </w:rPr>
      <w:t xml:space="preserve">	Uso interno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— Canvas LMS Automation Fase 2</dc:title>
  <dc:creator>Canvas LMS Automation</dc:creator>
  <cp:lastModifiedBy>Un-named</cp:lastModifiedBy>
  <cp:revision>1</cp:revision>
  <dcterms:created xsi:type="dcterms:W3CDTF">2026-10-08T20:00:26.509Z</dcterms:created>
  <dcterms:modified xsi:type="dcterms:W3CDTF">2026-10-08T20:00:26.516Z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