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Multi-environment genomic prediction under genotype × environment interaction: a simulation study validated in CIMMYT wheat</w:t>
      </w:r>
    </w:p>
    <w:p>
      <w:r>
        <w:rPr>
          <w:i/>
        </w:rPr>
        <w:t>Author(s): [Name(s), affiliations, ORCID]</w:t>
      </w:r>
    </w:p>
    <w:p>
      <w:r>
        <w:t>*Target journal: Theoretical and Applied Genetics (primary); also suitable for The</w:t>
      </w:r>
    </w:p>
    <w:p>
      <w:r>
        <w:t>Plant Genome, Frontiers in Plant Science, BMC Plant Biology.*</w:t>
      </w:r>
    </w:p>
    <w:p>
      <w:pPr>
        <w:pStyle w:val="Heading2"/>
      </w:pPr>
      <w:r>
        <w:t>Abstract</w:t>
      </w:r>
    </w:p>
    <w:p>
      <w:r>
        <w:t>Genomic prediction in plant breeding must contend with genotype × environment</w:t>
      </w:r>
    </w:p>
    <w:p>
      <w:r>
        <w:t>interaction (G×E): the genetic value of a line is not constant across</w:t>
      </w:r>
    </w:p>
    <w:p>
      <w:r>
        <w:t>environments. Multi-trait (MT) models that treat environments as correlated</w:t>
      </w:r>
    </w:p>
    <w:p>
      <w:r>
        <w:t>traits exploit the genetic covariance between environments, but their benefit</w:t>
      </w:r>
    </w:p>
    <w:p>
      <w:r>
        <w:t>relative to simpler approaches is not well characterised. We benchmarked</w:t>
      </w:r>
    </w:p>
    <w:p>
      <w:r>
        <w:t>single-environment GBLUP, the multi-environment phenotypic mean, a reaction-norm</w:t>
      </w:r>
    </w:p>
    <w:p>
      <w:r>
        <w:t>model, and MT-GBLUP in a forward simulation calibrated to a real wheat panel</w:t>
      </w:r>
    </w:p>
    <w:p>
      <w:r>
        <w:t>(599 lines, 1,279 markers, four environments), with G×E controlled through the</w:t>
      </w:r>
    </w:p>
    <w:p>
      <w:r>
        <w:t>type-B genetic correlation (rG = 0.2–0.8) at heritabilities h² = 0.2–0.6.</w:t>
      </w:r>
    </w:p>
    <w:p>
      <w:r>
        <w:t>MT-GBLUP was consistently the most accurate method: for untested lines its</w:t>
      </w:r>
    </w:p>
    <w:p>
      <w:r>
        <w:t>advantage over single-environment GBLUP grew with rG (up to 0.10) and was</w:t>
      </w:r>
    </w:p>
    <w:p>
      <w:r>
        <w:t>largest at low heritability; for an untested environment it beat the naive mean</w:t>
      </w:r>
    </w:p>
    <w:p>
      <w:r>
        <w:t>by 0.02–0.12. The reaction-norm model added little under compound-symmetry G×E</w:t>
      </w:r>
    </w:p>
    <w:p>
      <w:r>
        <w:t>and could be worse than the naive mean at low rG. A factor-analytic rank</w:t>
      </w:r>
    </w:p>
    <w:p>
      <w:r>
        <w:t>analysis showed model choice is predictable from the estimated covariance — two</w:t>
      </w:r>
    </w:p>
    <w:p>
      <w:r>
        <w:t>factors sufficed under reaction-norm G×E (FA(2) = MT), whereas the variance was</w:t>
      </w:r>
    </w:p>
    <w:p>
      <w:r>
        <w:t>more spread under compound symmetry, favouring the full model (or FA(1) at high</w:t>
      </w:r>
    </w:p>
    <w:p>
      <w:r>
        <w:t>rG) — and the model ranking was robust to 30% missing data. Validation in the</w:t>
      </w:r>
    </w:p>
    <w:p>
      <w:r>
        <w:t>CIMMYT wheat panel (Crossa et al. 2010) showed one environment genetically</w:t>
      </w:r>
    </w:p>
    <w:p>
      <w:r>
        <w:t>nearly independent of the others (type-B rG ≈ 0.01–0.13 vs 0.84–0.97), and</w:t>
      </w:r>
    </w:p>
    <w:p>
      <w:r>
        <w:t>MT-GBLUP improved prediction of the untested environment from r = 0.313 to</w:t>
      </w:r>
    </w:p>
    <w:p>
      <w:r>
        <w:t>0.379. These results guide multi-environment model choice.</w:t>
      </w:r>
    </w:p>
    <w:p>
      <w:r>
        <w:rPr>
          <w:b/>
        </w:rPr>
        <w:t>Keywords:</w:t>
      </w:r>
      <w:r>
        <w:t xml:space="preserve"> genomic selection · GBLUP · genotype × environment interaction ·</w:t>
      </w:r>
    </w:p>
    <w:p>
      <w:r>
        <w:t>multi-trait model · reaction norm · factor-analytic · wheat · simulation</w:t>
      </w:r>
    </w:p>
    <w:p>
      <w:pPr>
        <w:pStyle w:val="Heading2"/>
      </w:pPr>
      <w:r>
        <w:t>1. Introduction</w:t>
      </w:r>
    </w:p>
    <w:p>
      <w:r>
        <w:t>Genomic selection has transformed plant breeding by enabling the prediction of</w:t>
      </w:r>
    </w:p>
    <w:p>
      <w:r>
        <w:t>genetic merit from genome-wide marker data (Meuwissen et al. 2001; Habier et al.</w:t>
      </w:r>
    </w:p>
    <w:p>
      <w:r>
        <w:t>2007). The workhorse method, genomic best linear unbiased prediction (GBLUP),</w:t>
      </w:r>
    </w:p>
    <w:p>
      <w:r>
        <w:t>regresses phenotypes on a marker-derived relationship matrix and has been</w:t>
      </w:r>
    </w:p>
    <w:p>
      <w:r>
        <w:t>validated across crops (Crossa et al. 2010; VanRaden 2008). Most applications,</w:t>
      </w:r>
    </w:p>
    <w:p>
      <w:r>
        <w:t>however, are single-trait and single-environment: a model is trained and</w:t>
      </w:r>
    </w:p>
    <w:p>
      <w:r>
        <w:t>evaluated within one environment, which is rarely how breeding programmes</w:t>
      </w:r>
    </w:p>
    <w:p>
      <w:r>
        <w:t>actually operate.</w:t>
      </w:r>
    </w:p>
    <w:p>
      <w:r>
        <w:t>Breeding programmes evaluate candidate lines in multi-environment trials (MET)</w:t>
      </w:r>
    </w:p>
    <w:p>
      <w:r>
        <w:t>precisely because the ranking of lines changes across environments — the</w:t>
      </w:r>
    </w:p>
    <w:p>
      <w:r>
        <w:t>phenomenon of genotype × environment interaction (G×E). Statistically, G×E</w:t>
      </w:r>
    </w:p>
    <w:p>
      <w:r>
        <w:t>means that the genetic correlation between the same trait measured in two</w:t>
      </w:r>
    </w:p>
    <w:p>
      <w:r>
        <w:t>environments (the type-B genetic correlation, rG) is less than one (Falconer &amp;</w:t>
      </w:r>
    </w:p>
    <w:p>
      <w:r>
        <w:t>Mackay 1996). When rG is low, a line selected in one environment may perform</w:t>
      </w:r>
    </w:p>
    <w:p>
      <w:r>
        <w:t>poorly in another, and prediction accuracy for untested environments decays.</w:t>
      </w:r>
    </w:p>
    <w:p>
      <w:r>
        <w:t>Consequently, a central question is how best to model and exploit the genetic</w:t>
      </w:r>
    </w:p>
    <w:p>
      <w:r>
        <w:t>covariance among environments when making predictions.</w:t>
      </w:r>
    </w:p>
    <w:p>
      <w:r>
        <w:t>Several model families address this question. The simplest approach — averaging</w:t>
      </w:r>
    </w:p>
    <w:p>
      <w:r>
        <w:t>phenotypes across environments, or a single line main effect — treats</w:t>
      </w:r>
    </w:p>
    <w:p>
      <w:r>
        <w:t>environment effects as noise and borrows information only through a common mean.</w:t>
      </w:r>
    </w:p>
    <w:p>
      <w:r>
        <w:t>Multi-trait GBLUP instead treats the trait in each environment as a correlated</w:t>
      </w:r>
    </w:p>
    <w:p>
      <w:r>
        <w:t>trait and models the full genetic covariance matrix (Burgueño et al. 2012;</w:t>
      </w:r>
    </w:p>
    <w:p>
      <w:r>
        <w:t>Crossa et al. 2016). Reaction-norm (random regression) models express the</w:t>
      </w:r>
    </w:p>
    <w:p>
      <w:r>
        <w:t>genetic value as a function of an environmental covariate, while factor-analytic</w:t>
      </w:r>
    </w:p>
    <w:p>
      <w:r>
        <w:t>models impose low-rank structure on the environment covariance matrix (Jarquín</w:t>
      </w:r>
    </w:p>
    <w:p>
      <w:r>
        <w:t>et al. 2014; Lopez-Cruz et al. 2015; Lado et al. 2016). Although these methods</w:t>
      </w:r>
    </w:p>
    <w:p>
      <w:r>
        <w:t>have each been shown to outperform naive approaches in specific data sets, a</w:t>
      </w:r>
    </w:p>
    <w:p>
      <w:r>
        <w:t>systematic benchmark across a controlled G×E gradient, with methods placed on an</w:t>
      </w:r>
    </w:p>
    <w:p>
      <w:r>
        <w:t>equal footing, remains scarce. In particular, the conditions under which the</w:t>
      </w:r>
    </w:p>
    <w:p>
      <w:r>
        <w:t>added complexity of multi-trait or reaction-norm models actually pays off —</w:t>
      </w:r>
    </w:p>
    <w:p>
      <w:r>
        <w:t>relative to a simple multi-environment mean or single-environment GBLUP — are</w:t>
      </w:r>
    </w:p>
    <w:p>
      <w:r>
        <w:t>not well delineated.</w:t>
      </w:r>
    </w:p>
    <w:p>
      <w:r>
        <w:t>The objectives of this study were therefore: (i) to benchmark four</w:t>
      </w:r>
    </w:p>
    <w:p>
      <w:r>
        <w:t>multi-environment prediction models under a factorial simulation in which G×E</w:t>
      </w:r>
    </w:p>
    <w:p>
      <w:r>
        <w:t>magnitude (rG) and heritability (h²) were explicitly controlled; (ii) to</w:t>
      </w:r>
    </w:p>
    <w:p>
      <w:r>
        <w:t>validate the conclusions on a public CIMMYT wheat panel; and (iii) to translate</w:t>
      </w:r>
    </w:p>
    <w:p>
      <w:r>
        <w:t>the results into practical guidance for breeders. We used a forward simulation</w:t>
      </w:r>
    </w:p>
    <w:p>
      <w:r>
        <w:t>calibrated to the real wheat panel (marker count, allele-frequency spectrum,</w:t>
      </w:r>
    </w:p>
    <w:p>
      <w:r>
        <w:t>number of lines, and number of environments) so that the simulation results are</w:t>
      </w:r>
    </w:p>
    <w:p>
      <w:r>
        <w:t>directly interpretable alongside the real-data results. All models used the same</w:t>
      </w:r>
    </w:p>
    <w:p>
      <w:r>
        <w:t>genomic relationship matrix and, in the simulation, the same (oracle) variance</w:t>
      </w:r>
    </w:p>
    <w:p>
      <w:r>
        <w:t>components, so that differences in accuracy reflect model structure rather than</w:t>
      </w:r>
    </w:p>
    <w:p>
      <w:r>
        <w:t>estimation artefacts.</w:t>
      </w:r>
    </w:p>
    <w:p>
      <w:pPr>
        <w:pStyle w:val="Heading2"/>
      </w:pPr>
      <w:r>
        <w:t>2. Materials and methods</w:t>
      </w:r>
    </w:p>
    <w:p>
      <w:pPr>
        <w:pStyle w:val="Heading3"/>
      </w:pPr>
      <w:r>
        <w:t>2.1 Real data</w:t>
      </w:r>
    </w:p>
    <w:p>
      <w:r>
        <w:t>We used the CIMMYT wheat panel distributed with the BGLR package (Pérez et al.</w:t>
      </w:r>
    </w:p>
    <w:p>
      <w:r>
        <w:t>2010), originally from Crossa et al. (2010): 599 historical CIMMYT wheat lines</w:t>
      </w:r>
    </w:p>
    <w:p>
      <w:r>
        <w:t>genotyped with 1,279 DArT markers (coded 0/1 for presence/absence) and</w:t>
      </w:r>
    </w:p>
    <w:p>
      <w:r>
        <w:t>phenotyped for grain yield in four target mega-environments, here denoted E1,</w:t>
      </w:r>
    </w:p>
    <w:p>
      <w:r>
        <w:t>E2, E4, E5 following the original files. The data contain no missing values, and</w:t>
      </w:r>
    </w:p>
    <w:p>
      <w:r>
        <w:t>a pedigree-derived additive relationship matrix (A) is also provided. All</w:t>
      </w:r>
    </w:p>
    <w:p>
      <w:r>
        <w:t>analyses used the VanRaden (2008) method-1 genomic relationship matrix</w:t>
      </w:r>
    </w:p>
    <w:p>
      <w:r>
        <w:rPr>
          <w:b/>
        </w:rPr>
        <w:t>G = ZZ′/Σ p_j(1−p_j)</w:t>
      </w:r>
      <w:r>
        <w:t xml:space="preserve">, where </w:t>
      </w:r>
      <w:r>
        <w:rPr>
          <w:b/>
        </w:rPr>
        <w:t>Z</w:t>
      </w:r>
      <w:r>
        <w:t xml:space="preserve"> is the centred marker matrix and p_j is the</w:t>
      </w:r>
    </w:p>
    <w:p>
      <w:r>
        <w:t>sample allele frequency at marker j.</w:t>
      </w:r>
    </w:p>
    <w:p>
      <w:pPr>
        <w:pStyle w:val="Heading3"/>
      </w:pPr>
      <w:r>
        <w:t>2.2 Simulation</w:t>
      </w:r>
    </w:p>
    <w:p>
      <w:r>
        <w:t>We simulated a population that mimics the wheat panel (all details in the</w:t>
      </w:r>
    </w:p>
    <w:p>
      <w:r>
        <w:t>accompanying code). In brief, marker allele frequencies were resampled from the</w:t>
      </w:r>
    </w:p>
    <w:p>
      <w:r>
        <w:t>real panel's frequency spectrum; 100 diploid founders were generated; the</w:t>
      </w:r>
    </w:p>
    <w:p>
      <w:r>
        <w:t>population was random-mated for 15 generations with recombination (Poisson</w:t>
      </w:r>
    </w:p>
    <w:p>
      <w:r>
        <w:t>crossovers on 21 chromosomes); and 599 doubled-haploid (DH) inbred lines were</w:t>
      </w:r>
    </w:p>
    <w:p>
      <w:r>
        <w:t>sampled from the final generation. This produced related lines with realistic</w:t>
      </w:r>
    </w:p>
    <w:p>
      <w:r>
        <w:t>linkage disequilibrium and 0/1 (homozygous) marker coding. Genetic values were</w:t>
      </w:r>
    </w:p>
    <w:p>
      <w:r>
        <w:t>generated under an infinitesimal model in which all markers are causal.</w:t>
      </w:r>
    </w:p>
    <w:p>
      <w:r>
        <w:t>G×E was parameterised by the type-B genetic correlation rG through a</w:t>
      </w:r>
    </w:p>
    <w:p>
      <w:r>
        <w:t>compound-symmetry factor model:</w:t>
      </w:r>
    </w:p>
    <w:p>
      <w:pPr>
        <w:pStyle w:val="NoSpacing"/>
      </w:pPr>
      <w:r>
        <w:rPr>
          <w:rFonts w:ascii="Consolas" w:hAnsi="Consolas"/>
          <w:sz w:val="18"/>
        </w:rPr>
        <w:t>g_ij = √rG · c_i + √(1−rG) · t_ij,</w:t>
      </w:r>
    </w:p>
    <w:p>
      <w:r>
        <w:t>where c_i is the main (marker-based) genetic value of line i and t_ij is an</w:t>
      </w:r>
    </w:p>
    <w:p>
      <w:r>
        <w:t>environment-specific, marker-based interaction term; both have covariance equal</w:t>
      </w:r>
    </w:p>
    <w:p>
      <w:r>
        <w:t xml:space="preserve">to </w:t>
      </w:r>
      <w:r>
        <w:rPr>
          <w:b/>
        </w:rPr>
        <w:t>G</w:t>
      </w:r>
      <w:r>
        <w:t>. This gives an oracle genetic covariance</w:t>
      </w:r>
    </w:p>
    <w:p>
      <w:r>
        <w:rPr>
          <w:b/>
        </w:rPr>
        <w:t>Σ_g = (1−rG) I + rG J</w:t>
      </w:r>
      <w:r>
        <w:t xml:space="preserve"> across environments (unit genetic variance per</w:t>
      </w:r>
    </w:p>
    <w:p>
      <w:r>
        <w:t>environment) and a genetic correlation rG between any pair of environments.</w:t>
      </w:r>
    </w:p>
    <w:p>
      <w:r>
        <w:t>Residuals were drawn as e_ij ~ N(0, σ²_e) with σ²_e = (1−h²)/h², so that the</w:t>
      </w:r>
    </w:p>
    <w:p>
      <w:r>
        <w:t>per-environment heritability equals h². The scenario grid was</w:t>
      </w:r>
    </w:p>
    <w:p>
      <w:r>
        <w:t>rG ∈ {0.2, 0.4, 0.6, 0.8} × h² ∈ {0.2, 0.4, 0.6}, with 15 independent</w:t>
      </w:r>
    </w:p>
    <w:p>
      <w:r>
        <w:t>replicates per scenario.</w:t>
      </w:r>
    </w:p>
    <w:p>
      <w:r>
        <w:rPr>
          <w:b/>
        </w:rPr>
        <w:t>Structured (reaction-norm) G×E.</w:t>
      </w:r>
      <w:r>
        <w:t xml:space="preserve"> To delineate the conditions under which</w:t>
      </w:r>
    </w:p>
    <w:p>
      <w:r>
        <w:t>reduced-rank reaction-norm models are appropriate, we also simulated a</w:t>
      </w:r>
    </w:p>
    <w:p>
      <w:r>
        <w:t>covariate-driven model g_ij = c_i + b_i z_j, where c_i (intercept) and b_i</w:t>
      </w:r>
    </w:p>
    <w:p>
      <w:r>
        <w:t>(slope) are independent marker-based breeding values (both with covariance ∝ G)</w:t>
      </w:r>
    </w:p>
    <w:p>
      <w:r>
        <w:t>and z is an observable environmental covariate that also drives the environment</w:t>
      </w:r>
    </w:p>
    <w:p>
      <w:r>
        <w:t>mean (so it is readable from the environment-mean phenotype). The genetic</w:t>
      </w:r>
    </w:p>
    <w:p>
      <w:r>
        <w:t>covariance is therefore rank-two: Σ_g = σ²_c J + σ²_b z z′. G×E strength is set</w:t>
      </w:r>
    </w:p>
    <w:p>
      <w:r>
        <w:t>by κ = σ²_b/σ²_c, with the average genetic variance scaled to 1. We used</w:t>
      </w:r>
    </w:p>
    <w:p>
      <w:r>
        <w:t>κ ∈ {0.3, 0.8} × h² ∈ {0.3, 0.6}, 20 replicates; here all models used variance</w:t>
      </w:r>
    </w:p>
    <w:p>
      <w:r>
        <w:t xml:space="preserve">components </w:t>
      </w:r>
      <w:r>
        <w:rPr>
          <w:b/>
        </w:rPr>
        <w:t>estimated</w:t>
      </w:r>
      <w:r>
        <w:t xml:space="preserve"> from data (Section 2.5), matching practice, with the</w:t>
      </w:r>
    </w:p>
    <w:p>
      <w:r>
        <w:t>oracle-component versions computed as references.</w:t>
      </w:r>
    </w:p>
    <w:p>
      <w:r>
        <w:rPr>
          <w:b/>
        </w:rPr>
        <w:t>Unbalanced (missing) data.</w:t>
      </w:r>
      <w:r>
        <w:t xml:space="preserve"> As a screening check we masked 30% of phenotype</w:t>
      </w:r>
    </w:p>
    <w:p>
      <w:r>
        <w:t>cells completely at random (MCAR) in the compound-symmetry simulation</w:t>
      </w:r>
    </w:p>
    <w:p>
      <w:r>
        <w:t>(rG ∈ {0.3, 0.7}, h² = 0.4, 20 replicates). Single-environment GBLUP and the</w:t>
      </w:r>
    </w:p>
    <w:p>
      <w:r>
        <w:t>naive mean used the observed cells natively, while MT-GBLUP was fitted on</w:t>
      </w:r>
    </w:p>
    <w:p>
      <w:r>
        <w:t>environment-mean-imputed data.</w:t>
      </w:r>
    </w:p>
    <w:p>
      <w:pPr>
        <w:pStyle w:val="Heading3"/>
      </w:pPr>
      <w:r>
        <w:t>2.3 Models benchmarked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Model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Single-env GBLUP</w:t>
            </w:r>
          </w:p>
        </w:tc>
        <w:tc>
          <w:tcPr>
            <w:tcW w:type="dxa" w:w="4320"/>
          </w:tcPr>
          <w:p>
            <w:r>
              <w:t>per-environment GBLUP with λ = σ²_e / σ²_g</w:t>
            </w:r>
          </w:p>
        </w:tc>
      </w:tr>
      <w:tr>
        <w:tc>
          <w:tcPr>
            <w:tcW w:type="dxa" w:w="4320"/>
          </w:tcPr>
          <w:p>
            <w:r>
              <w:t>Naive mean</w:t>
            </w:r>
          </w:p>
        </w:tc>
        <w:tc>
          <w:tcPr>
            <w:tcW w:type="dxa" w:w="4320"/>
          </w:tcPr>
          <w:p>
            <w:r>
              <w:t>unweighted phenotypic mean across training environments (baseline)</w:t>
            </w:r>
          </w:p>
        </w:tc>
      </w:tr>
      <w:tr>
        <w:tc>
          <w:tcPr>
            <w:tcW w:type="dxa" w:w="4320"/>
          </w:tcPr>
          <w:p>
            <w:r>
              <w:t>RN-GBLUP</w:t>
            </w:r>
          </w:p>
        </w:tc>
        <w:tc>
          <w:tcPr>
            <w:tcW w:type="dxa" w:w="4320"/>
          </w:tcPr>
          <w:p>
            <w:r>
              <w:t>rank-2 linear reaction norm on the environment mean (a constrained MT model)</w:t>
            </w:r>
          </w:p>
        </w:tc>
      </w:tr>
      <w:tr>
        <w:tc>
          <w:tcPr>
            <w:tcW w:type="dxa" w:w="4320"/>
          </w:tcPr>
          <w:p>
            <w:r>
              <w:t>FA(k)-GBLUP</w:t>
            </w:r>
          </w:p>
        </w:tc>
        <w:tc>
          <w:tcPr>
            <w:tcW w:type="dxa" w:w="4320"/>
          </w:tcPr>
          <w:p>
            <w:r>
              <w:t>factor-analytic rank-k MT model (ΛΛ′ + Ψ; k = 1..e, with k = e ≡ MT)</w:t>
            </w:r>
          </w:p>
        </w:tc>
      </w:tr>
      <w:tr>
        <w:tc>
          <w:tcPr>
            <w:tcW w:type="dxa" w:w="4320"/>
          </w:tcPr>
          <w:p>
            <w:r>
              <w:t>MT-GBLUP</w:t>
            </w:r>
          </w:p>
        </w:tc>
        <w:tc>
          <w:tcPr>
            <w:tcW w:type="dxa" w:w="4320"/>
          </w:tcPr>
          <w:p>
            <w:r>
              <w:t>environments as correlated traits; Cov(vec U) = Σ_g ⊗ G</w:t>
            </w:r>
          </w:p>
        </w:tc>
      </w:tr>
    </w:tbl>
    <w:p/>
    <w:p>
      <w:r>
        <w:t xml:space="preserve">MT-GBLUP was solved exactly by eigen-decomposing </w:t>
      </w:r>
      <w:r>
        <w:rPr>
          <w:b/>
        </w:rPr>
        <w:t>G</w:t>
      </w:r>
      <w:r>
        <w:t xml:space="preserve"> and solving e×e systems</w:t>
      </w:r>
    </w:p>
    <w:p>
      <w:r>
        <w:t xml:space="preserve">per eigenvector. In the simulation all models used the oracle </w:t>
      </w:r>
      <w:r>
        <w:rPr>
          <w:b/>
        </w:rPr>
        <w:t>Σ_g</w:t>
      </w:r>
      <w:r>
        <w:t xml:space="preserve"> and σ²_e;</w:t>
      </w:r>
    </w:p>
    <w:p>
      <w:r>
        <w:t xml:space="preserve">on real data </w:t>
      </w:r>
      <w:r>
        <w:rPr>
          <w:b/>
        </w:rPr>
        <w:t>Σ_g</w:t>
      </w:r>
      <w:r>
        <w:t xml:space="preserve"> and σ²_e were estimated (Section 2.5). The reaction-norm</w:t>
      </w:r>
    </w:p>
    <w:p>
      <w:r>
        <w:t>model constrains the environment covariance to the span of {1, z}, where z is an</w:t>
      </w:r>
    </w:p>
    <w:p>
      <w:r>
        <w:t>environmental covariate (the environment mean, in both simulation and real</w:t>
      </w:r>
    </w:p>
    <w:p>
      <w:r>
        <w:t xml:space="preserve">data), implemented as </w:t>
      </w:r>
      <w:r>
        <w:rPr>
          <w:b/>
        </w:rPr>
        <w:t>Σ_rr = P_z Σ_g P_z</w:t>
      </w:r>
      <w:r>
        <w:t>. The factor-analytic FA(k) models</w:t>
      </w:r>
    </w:p>
    <w:p>
      <w:r>
        <w:t xml:space="preserve">re-express the (estimated) covariance as </w:t>
      </w:r>
      <w:r>
        <w:rPr>
          <w:b/>
        </w:rPr>
        <w:t>Σ_fa = ΛΛ′ + Ψ</w:t>
      </w:r>
      <w:r>
        <w:t>, where Λ is the</w:t>
      </w:r>
    </w:p>
    <w:p>
      <w:r>
        <w:t>e×k matrix of the leading k loadings and Ψ is diagonal (environment-specific</w:t>
      </w:r>
    </w:p>
    <w:p>
      <w:r>
        <w:t>variances); FA(e) is the full model, so the FA family is nested within MT-GBLUP</w:t>
      </w:r>
    </w:p>
    <w:p>
      <w:r>
        <w:t>(Burgueño et al. 2012). For FA models the rank k was chosen by the proportion of</w:t>
      </w:r>
    </w:p>
    <w:p>
      <w:r>
        <w:t>genetic variance explained by the leading k factors of the estimated covariance.</w:t>
      </w:r>
    </w:p>
    <w:p>
      <w:pPr>
        <w:pStyle w:val="Heading3"/>
      </w:pPr>
      <w:r>
        <w:t>2.4 Validation schemes</w:t>
      </w:r>
    </w:p>
    <w:p>
      <w:r>
        <w:t xml:space="preserve">Two prediction tasks were considered. </w:t>
      </w:r>
      <w:r>
        <w:rPr>
          <w:b/>
        </w:rPr>
        <w:t>Task A (CV1, new environment):</w:t>
      </w:r>
      <w:r>
        <w:t xml:space="preserve"> predict</w:t>
      </w:r>
    </w:p>
    <w:p>
      <w:r>
        <w:t>the genetic value of all lines in a held-out environment from the other three.</w:t>
      </w:r>
    </w:p>
    <w:p>
      <w:r>
        <w:rPr>
          <w:b/>
        </w:rPr>
        <w:t>Task B (CV2, new lines):</w:t>
      </w:r>
      <w:r>
        <w:t xml:space="preserve"> predict the genetic value of untested lines, using</w:t>
      </w:r>
    </w:p>
    <w:p>
      <w:r>
        <w:t>5-fold cross-validation in the simulation and the predefined 10-fold</w:t>
      </w:r>
    </w:p>
    <w:p>
      <w:r>
        <w:t>`wheat.sets` partition on real data. Accuracy was measured as the Pearson</w:t>
      </w:r>
    </w:p>
    <w:p>
      <w:r>
        <w:t>correlation between predicted and true breeding values (simulation) or between</w:t>
      </w:r>
    </w:p>
    <w:p>
      <w:r>
        <w:t>predicted values and the observed phenotype (real data, where the phenotype is</w:t>
      </w:r>
    </w:p>
    <w:p>
      <w:r>
        <w:t>the observable proxy for the breeding value and the accuracy is therefore scaled</w:t>
      </w:r>
    </w:p>
    <w:p>
      <w:r>
        <w:t>by √h²).</w:t>
      </w:r>
    </w:p>
    <w:p>
      <w:pPr>
        <w:pStyle w:val="Heading3"/>
      </w:pPr>
      <w:r>
        <w:t>2.5 Real-data variance components</w:t>
      </w:r>
    </w:p>
    <w:p>
      <w:r>
        <w:t xml:space="preserve">We estimated the environment genetic covariance </w:t>
      </w:r>
      <w:r>
        <w:rPr>
          <w:b/>
        </w:rPr>
        <w:t>Σ_g</w:t>
      </w:r>
      <w:r>
        <w:t xml:space="preserve"> and residual variances</w:t>
      </w:r>
    </w:p>
    <w:p>
      <w:r>
        <w:t>by the multivariate Haseman–Elston moment estimator (Haseman &amp; Elston 1972; Lee</w:t>
      </w:r>
    </w:p>
    <w:p>
      <w:r>
        <w:t>et al. 2012): the genetic covariance between environments j and k is the</w:t>
      </w:r>
    </w:p>
    <w:p>
      <w:r>
        <w:t>regression slope of the empirical cross-product of centred phenotypes on the</w:t>
      </w:r>
    </w:p>
    <w:p>
      <w:r>
        <w:t xml:space="preserve">off-diagonal of </w:t>
      </w:r>
      <w:r>
        <w:rPr>
          <w:b/>
        </w:rPr>
        <w:t>G</w:t>
      </w:r>
      <w:r>
        <w:t>. Moment estimates need not be positive semi-definite in</w:t>
      </w:r>
    </w:p>
    <w:p>
      <w:r>
        <w:t>finite samples, so we applied covariance "bending" (clipping negative</w:t>
      </w:r>
    </w:p>
    <w:p>
      <w:r>
        <w:t>eigenvalues to a small positive value) before use. This estimator was validated</w:t>
      </w:r>
    </w:p>
    <w:p>
      <w:r>
        <w:t>on simulated data before use (Section 3.3 and the verification report).</w:t>
      </w:r>
    </w:p>
    <w:p>
      <w:pPr>
        <w:pStyle w:val="Heading3"/>
      </w:pPr>
      <w:r>
        <w:t>2.6 Software and reproducibility</w:t>
      </w:r>
    </w:p>
    <w:p>
      <w:r>
        <w:t>All analyses were implemented in Python 3 (numpy/scipy/pandas; no R required).</w:t>
      </w:r>
    </w:p>
    <w:p>
      <w:r>
        <w:t>Code, data-processing steps, and all figure/table outputs are provided</w:t>
      </w:r>
    </w:p>
    <w:p>
      <w:r>
        <w:t>(`analysis/` and `output/`). The dataset file is byte-identical to the official</w:t>
      </w:r>
    </w:p>
    <w:p>
      <w:r>
        <w:t>BGLR release. A model-verification report accompanies this manuscript. Figure 1</w:t>
      </w:r>
    </w:p>
    <w:p>
      <w:r>
        <w:t>(summary) is produced by `analysis/06_summary_figure.py`; the robustness</w:t>
      </w:r>
    </w:p>
    <w:p>
      <w:r>
        <w:t>analyses are `analysis/04_robustness_structured.py` and</w:t>
      </w:r>
    </w:p>
    <w:p>
      <w:r>
        <w:t>`analysis/05_robustness_unbalanced.py`.</w:t>
      </w:r>
    </w:p>
    <w:p>
      <w:pPr>
        <w:pStyle w:val="Heading2"/>
      </w:pPr>
      <w:r>
        <w:t>3. Results</w:t>
      </w:r>
    </w:p>
    <w:p>
      <w:pPr>
        <w:pStyle w:val="Heading3"/>
      </w:pPr>
      <w:r>
        <w:t>3.1 Real-data structure (Phase 1)</w:t>
      </w:r>
    </w:p>
    <w:p>
      <w:r>
        <w:t>The two-way (line × environment) analysis of the wheat panel (Comstock &amp; Moll</w:t>
      </w:r>
    </w:p>
    <w:p>
      <w:r>
        <w:t>1963) gave a broad-sense heritability on entry means of H² ≈ 0.48. The four environments showed markedly</w:t>
      </w:r>
    </w:p>
    <w:p>
      <w:r>
        <w:t>heterogeneous genetic relationships: E1 was phenotypically uncorrelated or</w:t>
      </w:r>
    </w:p>
    <w:p>
      <w:r>
        <w:t>negatively correlated with the others (r = −0.19 to −0.02), whereas E2, E4 and</w:t>
      </w:r>
    </w:p>
    <w:p>
      <w:r>
        <w:t>E5 were moderately to strongly correlated (r = 0.39–0.66). Single-environment</w:t>
      </w:r>
    </w:p>
    <w:p>
      <w:r>
        <w:t>GBLUP cross-validation accuracies ranged from r = 0.39 (E4) to r = 0.53 (E1),</w:t>
      </w:r>
    </w:p>
    <w:p>
      <w:r>
        <w:t>consistent with this G×E structure.</w:t>
      </w:r>
    </w:p>
    <w:p>
      <w:pPr>
        <w:pStyle w:val="Heading3"/>
      </w:pPr>
      <w:r>
        <w:t>3.2 Simulation — Task A (predict new environment)</w:t>
      </w:r>
    </w:p>
    <w:p>
      <w:r>
        <w:t>Mean prediction accuracy versus true breeding value (15 replicates):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h²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Naive mean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MT-GBLUP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RN-GBLUP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0.147</w:t>
            </w:r>
          </w:p>
        </w:tc>
        <w:tc>
          <w:tcPr>
            <w:tcW w:type="dxa" w:w="1728"/>
          </w:tcPr>
          <w:p>
            <w:r>
              <w:t>0.191</w:t>
            </w:r>
          </w:p>
        </w:tc>
        <w:tc>
          <w:tcPr>
            <w:tcW w:type="dxa" w:w="1728"/>
          </w:tcPr>
          <w:p>
            <w:r>
              <w:t>0.145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0.202</w:t>
            </w:r>
          </w:p>
        </w:tc>
        <w:tc>
          <w:tcPr>
            <w:tcW w:type="dxa" w:w="1728"/>
          </w:tcPr>
          <w:p>
            <w:r>
              <w:t>0.231</w:t>
            </w:r>
          </w:p>
        </w:tc>
        <w:tc>
          <w:tcPr>
            <w:tcW w:type="dxa" w:w="1728"/>
          </w:tcPr>
          <w:p>
            <w:r>
              <w:t>0.170</w:t>
            </w:r>
          </w:p>
        </w:tc>
      </w:tr>
      <w:tr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0.241</w:t>
            </w:r>
          </w:p>
        </w:tc>
        <w:tc>
          <w:tcPr>
            <w:tcW w:type="dxa" w:w="1728"/>
          </w:tcPr>
          <w:p>
            <w:r>
              <w:t>0.256</w:t>
            </w:r>
          </w:p>
        </w:tc>
        <w:tc>
          <w:tcPr>
            <w:tcW w:type="dxa" w:w="1728"/>
          </w:tcPr>
          <w:p>
            <w:r>
              <w:t>0.184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0.287</w:t>
            </w:r>
          </w:p>
        </w:tc>
        <w:tc>
          <w:tcPr>
            <w:tcW w:type="dxa" w:w="1728"/>
          </w:tcPr>
          <w:p>
            <w:r>
              <w:t>0.367</w:t>
            </w:r>
          </w:p>
        </w:tc>
        <w:tc>
          <w:tcPr>
            <w:tcW w:type="dxa" w:w="1728"/>
          </w:tcPr>
          <w:p>
            <w:r>
              <w:t>0.331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0.383</w:t>
            </w:r>
          </w:p>
        </w:tc>
        <w:tc>
          <w:tcPr>
            <w:tcW w:type="dxa" w:w="1728"/>
          </w:tcPr>
          <w:p>
            <w:r>
              <w:t>0.430</w:t>
            </w:r>
          </w:p>
        </w:tc>
        <w:tc>
          <w:tcPr>
            <w:tcW w:type="dxa" w:w="1728"/>
          </w:tcPr>
          <w:p>
            <w:r>
              <w:t>0.372</w:t>
            </w:r>
          </w:p>
        </w:tc>
      </w:tr>
      <w:tr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0.444</w:t>
            </w:r>
          </w:p>
        </w:tc>
        <w:tc>
          <w:tcPr>
            <w:tcW w:type="dxa" w:w="1728"/>
          </w:tcPr>
          <w:p>
            <w:r>
              <w:t>0.467</w:t>
            </w:r>
          </w:p>
        </w:tc>
        <w:tc>
          <w:tcPr>
            <w:tcW w:type="dxa" w:w="1728"/>
          </w:tcPr>
          <w:p>
            <w:r>
              <w:t>0.389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0.417</w:t>
            </w:r>
          </w:p>
        </w:tc>
        <w:tc>
          <w:tcPr>
            <w:tcW w:type="dxa" w:w="1728"/>
          </w:tcPr>
          <w:p>
            <w:r>
              <w:t>0.520</w:t>
            </w:r>
          </w:p>
        </w:tc>
        <w:tc>
          <w:tcPr>
            <w:tcW w:type="dxa" w:w="1728"/>
          </w:tcPr>
          <w:p>
            <w:r>
              <w:t>0.502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0.542</w:t>
            </w:r>
          </w:p>
        </w:tc>
        <w:tc>
          <w:tcPr>
            <w:tcW w:type="dxa" w:w="1728"/>
          </w:tcPr>
          <w:p>
            <w:r>
              <w:t>0.598</w:t>
            </w:r>
          </w:p>
        </w:tc>
        <w:tc>
          <w:tcPr>
            <w:tcW w:type="dxa" w:w="1728"/>
          </w:tcPr>
          <w:p>
            <w:r>
              <w:t>0.565</w:t>
            </w:r>
          </w:p>
        </w:tc>
      </w:tr>
      <w:tr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0.616</w:t>
            </w:r>
          </w:p>
        </w:tc>
        <w:tc>
          <w:tcPr>
            <w:tcW w:type="dxa" w:w="1728"/>
          </w:tcPr>
          <w:p>
            <w:r>
              <w:t>0.642</w:t>
            </w:r>
          </w:p>
        </w:tc>
        <w:tc>
          <w:tcPr>
            <w:tcW w:type="dxa" w:w="1728"/>
          </w:tcPr>
          <w:p>
            <w:r>
              <w:t>0.590</w:t>
            </w:r>
          </w:p>
        </w:tc>
      </w:tr>
      <w:tr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0.2</w:t>
            </w:r>
          </w:p>
        </w:tc>
        <w:tc>
          <w:tcPr>
            <w:tcW w:type="dxa" w:w="1728"/>
          </w:tcPr>
          <w:p>
            <w:r>
              <w:t>0.538</w:t>
            </w:r>
          </w:p>
        </w:tc>
        <w:tc>
          <w:tcPr>
            <w:tcW w:type="dxa" w:w="1728"/>
          </w:tcPr>
          <w:p>
            <w:r>
              <w:t>0.656</w:t>
            </w:r>
          </w:p>
        </w:tc>
        <w:tc>
          <w:tcPr>
            <w:tcW w:type="dxa" w:w="1728"/>
          </w:tcPr>
          <w:p>
            <w:r>
              <w:t>0.651</w:t>
            </w:r>
          </w:p>
        </w:tc>
      </w:tr>
      <w:tr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0.4</w:t>
            </w:r>
          </w:p>
        </w:tc>
        <w:tc>
          <w:tcPr>
            <w:tcW w:type="dxa" w:w="1728"/>
          </w:tcPr>
          <w:p>
            <w:r>
              <w:t>0.685</w:t>
            </w:r>
          </w:p>
        </w:tc>
        <w:tc>
          <w:tcPr>
            <w:tcW w:type="dxa" w:w="1728"/>
          </w:tcPr>
          <w:p>
            <w:r>
              <w:t>0.745</w:t>
            </w:r>
          </w:p>
        </w:tc>
        <w:tc>
          <w:tcPr>
            <w:tcW w:type="dxa" w:w="1728"/>
          </w:tcPr>
          <w:p>
            <w:r>
              <w:t>0.735</w:t>
            </w:r>
          </w:p>
        </w:tc>
      </w:tr>
      <w:tr>
        <w:tc>
          <w:tcPr>
            <w:tcW w:type="dxa" w:w="1728"/>
          </w:tcPr>
          <w:p>
            <w:r>
              <w:t>0.8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0.768</w:t>
            </w:r>
          </w:p>
        </w:tc>
        <w:tc>
          <w:tcPr>
            <w:tcW w:type="dxa" w:w="1728"/>
          </w:tcPr>
          <w:p>
            <w:r>
              <w:t>0.794</w:t>
            </w:r>
          </w:p>
        </w:tc>
        <w:tc>
          <w:tcPr>
            <w:tcW w:type="dxa" w:w="1728"/>
          </w:tcPr>
          <w:p>
            <w:r>
              <w:t>0.777</w:t>
            </w:r>
          </w:p>
        </w:tc>
      </w:tr>
    </w:tbl>
    <w:p/>
    <w:p>
      <w:r>
        <w:t>MT-GBLUP was the most accurate method in every scenario. The MT−naive gap grew</w:t>
      </w:r>
    </w:p>
    <w:p>
      <w:r>
        <w:t>with rG (from ≈0.02–0.05 at rG = 0.2 to ≈0.03–0.12 at rG = 0.8). The</w:t>
      </w:r>
    </w:p>
    <w:p>
      <w:r>
        <w:t>reaction-norm model matched the naive mean at low rG (and could be slightly</w:t>
      </w:r>
    </w:p>
    <w:p>
      <w:r>
        <w:t>worse, e.g. 0.170 vs 0.202 at rG = 0.2, h² = 0.4) and approached MT-GBLUP at</w:t>
      </w:r>
    </w:p>
    <w:p>
      <w:r>
        <w:t>high rG, but never exceeded it.</w:t>
      </w:r>
    </w:p>
    <w:p>
      <w:pPr>
        <w:pStyle w:val="Heading3"/>
      </w:pPr>
      <w:r>
        <w:t>3.3 Simulation — Task B (predict new lines)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h²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Single-env GBLUP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MT-GBLUP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0.514</w:t>
            </w:r>
          </w:p>
        </w:tc>
        <w:tc>
          <w:tcPr>
            <w:tcW w:type="dxa" w:w="2160"/>
          </w:tcPr>
          <w:p>
            <w:r>
              <w:t>0.519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0.628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</w:tr>
      <w:tr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0.704</w:t>
            </w:r>
          </w:p>
        </w:tc>
        <w:tc>
          <w:tcPr>
            <w:tcW w:type="dxa" w:w="2160"/>
          </w:tcPr>
          <w:p>
            <w:r>
              <w:t>0.707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0.515</w:t>
            </w:r>
          </w:p>
        </w:tc>
        <w:tc>
          <w:tcPr>
            <w:tcW w:type="dxa" w:w="2160"/>
          </w:tcPr>
          <w:p>
            <w:r>
              <w:t>0.540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0.630</w:t>
            </w:r>
          </w:p>
        </w:tc>
        <w:tc>
          <w:tcPr>
            <w:tcW w:type="dxa" w:w="2160"/>
          </w:tcPr>
          <w:p>
            <w:r>
              <w:t>0.647</w:t>
            </w:r>
          </w:p>
        </w:tc>
      </w:tr>
      <w:tr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0.706</w:t>
            </w:r>
          </w:p>
        </w:tc>
        <w:tc>
          <w:tcPr>
            <w:tcW w:type="dxa" w:w="2160"/>
          </w:tcPr>
          <w:p>
            <w:r>
              <w:t>0.717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0.517</w:t>
            </w:r>
          </w:p>
        </w:tc>
        <w:tc>
          <w:tcPr>
            <w:tcW w:type="dxa" w:w="2160"/>
          </w:tcPr>
          <w:p>
            <w:r>
              <w:t>0.572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0.632</w:t>
            </w:r>
          </w:p>
        </w:tc>
        <w:tc>
          <w:tcPr>
            <w:tcW w:type="dxa" w:w="2160"/>
          </w:tcPr>
          <w:p>
            <w:r>
              <w:t>0.669</w:t>
            </w:r>
          </w:p>
        </w:tc>
      </w:tr>
      <w:tr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0.707</w:t>
            </w:r>
          </w:p>
        </w:tc>
        <w:tc>
          <w:tcPr>
            <w:tcW w:type="dxa" w:w="2160"/>
          </w:tcPr>
          <w:p>
            <w:r>
              <w:t>0.731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0.2</w:t>
            </w:r>
          </w:p>
        </w:tc>
        <w:tc>
          <w:tcPr>
            <w:tcW w:type="dxa" w:w="2160"/>
          </w:tcPr>
          <w:p>
            <w:r>
              <w:t>0.517</w:t>
            </w:r>
          </w:p>
        </w:tc>
        <w:tc>
          <w:tcPr>
            <w:tcW w:type="dxa" w:w="2160"/>
          </w:tcPr>
          <w:p>
            <w:r>
              <w:t>0.613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0.4</w:t>
            </w:r>
          </w:p>
        </w:tc>
        <w:tc>
          <w:tcPr>
            <w:tcW w:type="dxa" w:w="2160"/>
          </w:tcPr>
          <w:p>
            <w:r>
              <w:t>0.633</w:t>
            </w:r>
          </w:p>
        </w:tc>
        <w:tc>
          <w:tcPr>
            <w:tcW w:type="dxa" w:w="2160"/>
          </w:tcPr>
          <w:p>
            <w:r>
              <w:t>0.699</w:t>
            </w:r>
          </w:p>
        </w:tc>
      </w:tr>
      <w:tr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0.6</w:t>
            </w:r>
          </w:p>
        </w:tc>
        <w:tc>
          <w:tcPr>
            <w:tcW w:type="dxa" w:w="2160"/>
          </w:tcPr>
          <w:p>
            <w:r>
              <w:t>0.708</w:t>
            </w:r>
          </w:p>
        </w:tc>
        <w:tc>
          <w:tcPr>
            <w:tcW w:type="dxa" w:w="2160"/>
          </w:tcPr>
          <w:p>
            <w:r>
              <w:t>0.753</w:t>
            </w:r>
          </w:p>
        </w:tc>
      </w:tr>
    </w:tbl>
    <w:p/>
    <w:p>
      <w:r>
        <w:t>MT-GBLUP was at least as accurate as single-environment GBLUP everywhere; the</w:t>
      </w:r>
    </w:p>
    <w:p>
      <w:r>
        <w:t>advantage was negligible at rG = 0.2 (≈0.003–0.005) and grew to 0.04–0.10 at</w:t>
      </w:r>
    </w:p>
    <w:p>
      <w:r>
        <w:t>rG = 0.8, with the relative gain largest at low heritability.</w:t>
      </w:r>
    </w:p>
    <w:p>
      <w:pPr>
        <w:pStyle w:val="Heading3"/>
      </w:pPr>
      <w:r>
        <w:t>3.4 Real-data validation (Phase 3)</w:t>
      </w:r>
    </w:p>
    <w:p>
      <w:r>
        <w:t>The Haseman–Elston estimator was first validated on simulated data, where it</w:t>
      </w:r>
    </w:p>
    <w:p>
      <w:r>
        <w:t>recovered the true h² and rG without bias (e.g. estimated h² = 0.19/0.39/0.59 at</w:t>
      </w:r>
    </w:p>
    <w:p>
      <w:r>
        <w:t>true 0.2/0.4/0.6; estimated rG = 0.19/0.50/0.81 at true 0.2/0.5/0.8). Applied to</w:t>
      </w:r>
    </w:p>
    <w:p>
      <w:r>
        <w:t>the wheat panel, it gave the estimated type-B genetic correlation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E4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E5</w:t>
            </w:r>
          </w:p>
        </w:tc>
      </w:tr>
      <w:tr>
        <w:tc>
          <w:tcPr>
            <w:tcW w:type="dxa" w:w="1728"/>
          </w:tcPr>
          <w:p>
            <w:r>
              <w:t>--</w:t>
            </w:r>
          </w:p>
        </w:tc>
        <w:tc>
          <w:tcPr>
            <w:tcW w:type="dxa" w:w="1728"/>
          </w:tcPr>
          <w:p>
            <w:r>
              <w:t>----</w:t>
            </w:r>
          </w:p>
        </w:tc>
        <w:tc>
          <w:tcPr>
            <w:tcW w:type="dxa" w:w="1728"/>
          </w:tcPr>
          <w:p>
            <w:r>
              <w:t>----</w:t>
            </w:r>
          </w:p>
        </w:tc>
        <w:tc>
          <w:tcPr>
            <w:tcW w:type="dxa" w:w="1728"/>
          </w:tcPr>
          <w:p>
            <w:r>
              <w:t>----</w:t>
            </w:r>
          </w:p>
        </w:tc>
        <w:tc>
          <w:tcPr>
            <w:tcW w:type="dxa" w:w="1728"/>
          </w:tcPr>
          <w:p>
            <w:r>
              <w:t>----</w:t>
            </w:r>
          </w:p>
        </w:tc>
      </w:tr>
      <w:tr>
        <w:tc>
          <w:tcPr>
            <w:tcW w:type="dxa" w:w="1728"/>
          </w:tcPr>
          <w:p>
            <w:r>
              <w:t>E1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0.08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c>
          <w:tcPr>
            <w:tcW w:type="dxa" w:w="1728"/>
          </w:tcPr>
          <w:p>
            <w:r>
              <w:t>E2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0.97</w:t>
            </w:r>
          </w:p>
        </w:tc>
        <w:tc>
          <w:tcPr>
            <w:tcW w:type="dxa" w:w="1728"/>
          </w:tcPr>
          <w:p>
            <w:r>
              <w:t>0.84</w:t>
            </w:r>
          </w:p>
        </w:tc>
      </w:tr>
      <w:tr>
        <w:tc>
          <w:tcPr>
            <w:tcW w:type="dxa" w:w="1728"/>
          </w:tcPr>
          <w:p>
            <w:r>
              <w:t>E4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0.94</w:t>
            </w:r>
          </w:p>
        </w:tc>
      </w:tr>
      <w:tr>
        <w:tc>
          <w:tcPr>
            <w:tcW w:type="dxa" w:w="1728"/>
          </w:tcPr>
          <w:p>
            <w:r>
              <w:t>E5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1.00</w:t>
            </w:r>
          </w:p>
        </w:tc>
      </w:tr>
    </w:tbl>
    <w:p/>
    <w:p>
      <w:r>
        <w:t>E1 is genetically nearly independent of E2/E4/E5 — matching the published</w:t>
      </w:r>
    </w:p>
    <w:p>
      <w:r>
        <w:t>description of this panel (Crossa et al. 2010) — while E2, E4 and E5 are</w:t>
      </w:r>
    </w:p>
    <w:p>
      <w:r>
        <w:t>strongly correlated. On Task A (predict an untested environment), MT-GBLUP</w:t>
      </w:r>
    </w:p>
    <w:p>
      <w:r>
        <w:t>achieved r = 0.379 versus r = 0.313 for the naive mean and r = 0.262 for the</w:t>
      </w:r>
    </w:p>
    <w:p>
      <w:r>
        <w:t>reaction-norm model. On Task B (predict untested lines, 10-fold), MT-GBLUP</w:t>
      </w:r>
    </w:p>
    <w:p>
      <w:r>
        <w:t>(r = 0.443) matched single-environment GBLUP (r = 0.440); the MT advantage was</w:t>
      </w:r>
    </w:p>
    <w:p>
      <w:r>
        <w:t>concentrated in the most-correlated environment E4 (0.410 vs 0.379). Thus the</w:t>
      </w:r>
    </w:p>
    <w:p>
      <w:r>
        <w:t>real data reproduce the simulation ranking: MT-GBLUP ≥ naive ≥ reaction-norm on</w:t>
      </w:r>
    </w:p>
    <w:p>
      <w:r>
        <w:t>Task A, and MT-GBLUP ≈ single-env with a small edge on Task B.</w:t>
      </w:r>
    </w:p>
    <w:p>
      <w:pPr>
        <w:pStyle w:val="Heading3"/>
      </w:pPr>
      <w:r>
        <w:t>3.5 Structured (reaction-norm) G×E</w:t>
      </w:r>
    </w:p>
    <w:p>
      <w:r>
        <w:t>Under the reaction-norm generative model (Section 2.2), with variance</w:t>
      </w:r>
    </w:p>
    <w:p>
      <w:r>
        <w:t>components estimated from data, the reduced-rank reaction-norm model matched</w:t>
      </w:r>
    </w:p>
    <w:p>
      <w:r>
        <w:t>MT-GBLUP in every scenario (Table, Task A): at κ = 0.3, RN 0.719/0.846 vs MT</w:t>
      </w:r>
    </w:p>
    <w:p>
      <w:r>
        <w:t>0.717/0.846 (h² = 0.3/0.6); at κ = 0.8, RN 0.690/0.834 vs MT 0.688/0.833. Both</w:t>
      </w:r>
    </w:p>
    <w:p>
      <w:r>
        <w:t>models far outperformed the naive mean (0.346–0.670), and with oracle</w:t>
      </w:r>
    </w:p>
    <w:p>
      <w:r>
        <w:t>components the two were identical to three decimals (e.g. 0.725 = 0.725), as</w:t>
      </w:r>
    </w:p>
    <w:p>
      <w:r>
        <w:t>expected because the true covariance is already in the reaction-norm subspace.</w:t>
      </w:r>
    </w:p>
    <w:p>
      <w:r>
        <w:t>On Task B the same pattern held (RN ≈ MT &gt; single-env). Notably, at κ = 0.8 the</w:t>
      </w:r>
    </w:p>
    <w:p>
      <w:r>
        <w:t>realised genetic correlations spanned negative to strongly positive values</w:t>
      </w:r>
    </w:p>
    <w:p>
      <w:r>
        <w:t>(−0.28 to 0.89), yet the reaction-norm model remained as accurate as the full</w:t>
      </w:r>
    </w:p>
    <w:p>
      <w:r>
        <w:t>multi-trait model, because the rank-two structure captured the genuine pattern</w:t>
      </w:r>
    </w:p>
    <w:p>
      <w:r>
        <w:t>of G×E. These results contrast with the compound-symmetry setting (Section 3.2),</w:t>
      </w:r>
    </w:p>
    <w:p>
      <w:r>
        <w:t>where the reaction-norm model was clearly inferior, and identify low-rank,</w:t>
      </w:r>
    </w:p>
    <w:p>
      <w:r>
        <w:t>covariate-driven G×E as the regime in which reaction-norm models are</w:t>
      </w:r>
    </w:p>
    <w:p>
      <w:r>
        <w:t>competitive.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κ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h²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Naive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MT-GBLUP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RN-GBLUP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MT (oracle)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RN (oracle)</w:t>
            </w:r>
          </w:p>
        </w:tc>
      </w:tr>
      <w:tr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0.538</w:t>
            </w:r>
          </w:p>
        </w:tc>
        <w:tc>
          <w:tcPr>
            <w:tcW w:type="dxa" w:w="1234"/>
          </w:tcPr>
          <w:p>
            <w:r>
              <w:t>0.717</w:t>
            </w:r>
          </w:p>
        </w:tc>
        <w:tc>
          <w:tcPr>
            <w:tcW w:type="dxa" w:w="1234"/>
          </w:tcPr>
          <w:p>
            <w:r>
              <w:t>0.719</w:t>
            </w:r>
          </w:p>
        </w:tc>
        <w:tc>
          <w:tcPr>
            <w:tcW w:type="dxa" w:w="1234"/>
          </w:tcPr>
          <w:p>
            <w:r>
              <w:t>0.725</w:t>
            </w:r>
          </w:p>
        </w:tc>
        <w:tc>
          <w:tcPr>
            <w:tcW w:type="dxa" w:w="1234"/>
          </w:tcPr>
          <w:p>
            <w:r>
              <w:t>0.725</w:t>
            </w:r>
          </w:p>
        </w:tc>
      </w:tr>
      <w:tr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0.670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0.846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  <w:tc>
          <w:tcPr>
            <w:tcW w:type="dxa" w:w="1234"/>
          </w:tcPr>
          <w:p>
            <w:r>
              <w:t>0.855</w:t>
            </w:r>
          </w:p>
        </w:tc>
      </w:tr>
      <w:tr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0.3</w:t>
            </w:r>
          </w:p>
        </w:tc>
        <w:tc>
          <w:tcPr>
            <w:tcW w:type="dxa" w:w="1234"/>
          </w:tcPr>
          <w:p>
            <w:r>
              <w:t>0.346</w:t>
            </w:r>
          </w:p>
        </w:tc>
        <w:tc>
          <w:tcPr>
            <w:tcW w:type="dxa" w:w="1234"/>
          </w:tcPr>
          <w:p>
            <w:r>
              <w:t>0.688</w:t>
            </w:r>
          </w:p>
        </w:tc>
        <w:tc>
          <w:tcPr>
            <w:tcW w:type="dxa" w:w="1234"/>
          </w:tcPr>
          <w:p>
            <w:r>
              <w:t>0.690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  <w:tc>
          <w:tcPr>
            <w:tcW w:type="dxa" w:w="1234"/>
          </w:tcPr>
          <w:p>
            <w:r>
              <w:t>0.698</w:t>
            </w:r>
          </w:p>
        </w:tc>
      </w:tr>
      <w:tr>
        <w:tc>
          <w:tcPr>
            <w:tcW w:type="dxa" w:w="1234"/>
          </w:tcPr>
          <w:p>
            <w:r>
              <w:t>0.8</w:t>
            </w:r>
          </w:p>
        </w:tc>
        <w:tc>
          <w:tcPr>
            <w:tcW w:type="dxa" w:w="1234"/>
          </w:tcPr>
          <w:p>
            <w:r>
              <w:t>0.6</w:t>
            </w:r>
          </w:p>
        </w:tc>
        <w:tc>
          <w:tcPr>
            <w:tcW w:type="dxa" w:w="1234"/>
          </w:tcPr>
          <w:p>
            <w:r>
              <w:t>0.452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0.834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  <w:tc>
          <w:tcPr>
            <w:tcW w:type="dxa" w:w="1234"/>
          </w:tcPr>
          <w:p>
            <w:r>
              <w:t>0.844</w:t>
            </w:r>
          </w:p>
        </w:tc>
      </w:tr>
    </w:tbl>
    <w:p/>
    <w:p>
      <w:pPr>
        <w:pStyle w:val="Heading3"/>
      </w:pPr>
      <w:r>
        <w:t>3.6 Unbalanced data (30% missing)</w:t>
      </w:r>
    </w:p>
    <w:p>
      <w:r>
        <w:t>With 30% MCAR missingness, the qualitative conclusions were unchanged</w:t>
      </w:r>
    </w:p>
    <w:p>
      <w:r>
        <w:t>(Table). On Task A, MT-GBLUP (imputed) outperformed the naive mean at both</w:t>
      </w:r>
    </w:p>
    <w:p>
      <w:r>
        <w:t>rG = 0.3 (0.310 vs 0.238) and rG = 0.7 (0.629 vs 0.515); on Task B it matched</w:t>
      </w:r>
    </w:p>
    <w:p>
      <w:r>
        <w:t>single-environment GBLUP at rG = 0.3 (0.574 vs 0.575) and exceeded it at</w:t>
      </w:r>
    </w:p>
    <w:p>
      <w:r>
        <w:t>rG = 0.7 (0.628 vs 0.575). Thus moderate missing data, handled by simple</w:t>
      </w:r>
    </w:p>
    <w:p>
      <w:r>
        <w:t>environment-mean imputation, does not upset the model ranking.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rG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Task A: naive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Task A: MT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Task B: single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Task B: MT</w:t>
            </w:r>
          </w:p>
        </w:tc>
      </w:tr>
      <w:tr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0.238</w:t>
            </w:r>
          </w:p>
        </w:tc>
        <w:tc>
          <w:tcPr>
            <w:tcW w:type="dxa" w:w="1728"/>
          </w:tcPr>
          <w:p>
            <w:r>
              <w:t>0.310</w:t>
            </w:r>
          </w:p>
        </w:tc>
        <w:tc>
          <w:tcPr>
            <w:tcW w:type="dxa" w:w="1728"/>
          </w:tcPr>
          <w:p>
            <w:r>
              <w:t>0.575</w:t>
            </w:r>
          </w:p>
        </w:tc>
        <w:tc>
          <w:tcPr>
            <w:tcW w:type="dxa" w:w="1728"/>
          </w:tcPr>
          <w:p>
            <w:r>
              <w:t>0.574</w:t>
            </w:r>
          </w:p>
        </w:tc>
      </w:tr>
      <w:tr>
        <w:tc>
          <w:tcPr>
            <w:tcW w:type="dxa" w:w="1728"/>
          </w:tcPr>
          <w:p>
            <w:r>
              <w:t>0.7</w:t>
            </w:r>
          </w:p>
        </w:tc>
        <w:tc>
          <w:tcPr>
            <w:tcW w:type="dxa" w:w="1728"/>
          </w:tcPr>
          <w:p>
            <w:r>
              <w:t>0.515</w:t>
            </w:r>
          </w:p>
        </w:tc>
        <w:tc>
          <w:tcPr>
            <w:tcW w:type="dxa" w:w="1728"/>
          </w:tcPr>
          <w:p>
            <w:r>
              <w:t>0.629</w:t>
            </w:r>
          </w:p>
        </w:tc>
        <w:tc>
          <w:tcPr>
            <w:tcW w:type="dxa" w:w="1728"/>
          </w:tcPr>
          <w:p>
            <w:r>
              <w:t>0.575</w:t>
            </w:r>
          </w:p>
        </w:tc>
        <w:tc>
          <w:tcPr>
            <w:tcW w:type="dxa" w:w="1728"/>
          </w:tcPr>
          <w:p>
            <w:r>
              <w:t>0.628</w:t>
            </w:r>
          </w:p>
        </w:tc>
      </w:tr>
    </w:tbl>
    <w:p/>
    <w:p>
      <w:pPr>
        <w:pStyle w:val="Heading3"/>
      </w:pPr>
      <w:r>
        <w:t>3.7 Factor-analytic rank analysis</w:t>
      </w:r>
    </w:p>
    <w:p>
      <w:r>
        <w:t>The rank of the estimated environment covariance predicted model performance</w:t>
      </w:r>
    </w:p>
    <w:p>
      <w:r>
        <w:t>across both G×E architectures (Figure 1d; the proportion of genetic variance</w:t>
      </w:r>
    </w:p>
    <w:p>
      <w:r>
        <w:t>explained by the leading k factors, FA1/FA2/FA3, is reported). Under the</w:t>
      </w:r>
    </w:p>
    <w:p>
      <w:r>
        <w:t>reaction-norm generative model, two factors explained ≈100% of the genetic</w:t>
      </w:r>
    </w:p>
    <w:p>
      <w:r>
        <w:t>variance (0.996 at κ = 0.3 and κ = 0.8), and FA(2), FA(3), RN and the full MT</w:t>
      </w:r>
    </w:p>
    <w:p>
      <w:r>
        <w:t>model all attained identical accuracy on Task A (0.843 at κ = 0.3, 0.832 at</w:t>
      </w:r>
    </w:p>
    <w:p>
      <w:r>
        <w:t>κ = 0.8), while FA(1) was markedly worse (0.712 / 0.485) and the naive mean</w:t>
      </w:r>
    </w:p>
    <w:p>
      <w:r>
        <w:t>worse still (0.665 / 0.446). Under compound-symmetry G×E the variance was</w:t>
      </w:r>
    </w:p>
    <w:p>
      <w:r>
        <w:t>spread over more factors: at rG = 0.3 the leading factor explained only ≈0.50</w:t>
      </w:r>
    </w:p>
    <w:p>
      <w:r>
        <w:t>of the genetic variance (three factors were needed for ≈0.90), and no</w:t>
      </w:r>
    </w:p>
    <w:p>
      <w:r>
        <w:t>reduced-rank model beat the full MT-GBLUP (0.318 vs FA1 0.304, FA2 0.296,</w:t>
      </w:r>
    </w:p>
    <w:p>
      <w:r>
        <w:t>FA3 0.295), while the reaction-norm model was worst (0.271). At rG = 0.6 the</w:t>
      </w:r>
    </w:p>
    <w:p>
      <w:r>
        <w:t>leading factor explained ≈0.70, and FA(1) matched MT-GBLUP (0.590 vs 0.589),</w:t>
      </w:r>
    </w:p>
    <w:p>
      <w:r>
        <w:t>outperforming FA(2)/FA(3) (0.573/0.573) — consistent with compound symmetry</w:t>
      </w:r>
    </w:p>
    <w:p>
      <w:r>
        <w:t>being an FA(1) structure (one common factor plus environment-specific</w:t>
      </w:r>
    </w:p>
    <w:p>
      <w:r>
        <w:t>variances), so that adding spurious factors is not helpful. These results</w:t>
      </w:r>
    </w:p>
    <w:p>
      <w:r>
        <w:t>support the practical rule that the factor-analytic rank diagnostic — the</w:t>
      </w:r>
    </w:p>
    <w:p>
      <w:r>
        <w:t>proportion of variance carried by the leading factors of the estimated</w:t>
      </w:r>
    </w:p>
    <w:p>
      <w:r>
        <w:t>covariance — can guide model choice: a small number of dominant factors</w:t>
      </w:r>
    </w:p>
    <w:p>
      <w:r>
        <w:t>favours the corresponding FA(k) model, whereas a spread spectrum favours the</w:t>
      </w:r>
    </w:p>
    <w:p>
      <w:r>
        <w:t>full multi-trait model, and the reaction-norm model is only appropriate when a</w:t>
      </w:r>
    </w:p>
    <w:p>
      <w:r>
        <w:t>measured environmental covariate drives G×E.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Scenario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varExp(1/2/3)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naive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FA1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FA2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FA3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MT</w:t>
            </w:r>
          </w:p>
        </w:tc>
      </w:tr>
      <w:tr>
        <w:tc>
          <w:tcPr>
            <w:tcW w:type="dxa" w:w="1080"/>
          </w:tcPr>
          <w:p>
            <w:r>
              <w:t>CS, rG = 0.3</w:t>
            </w:r>
          </w:p>
        </w:tc>
        <w:tc>
          <w:tcPr>
            <w:tcW w:type="dxa" w:w="1080"/>
          </w:tcPr>
          <w:p>
            <w:r>
              <w:t>0.50/0.75/0.90</w:t>
            </w:r>
          </w:p>
        </w:tc>
        <w:tc>
          <w:tcPr>
            <w:tcW w:type="dxa" w:w="1080"/>
          </w:tcPr>
          <w:p>
            <w:r>
              <w:t>0.297</w:t>
            </w:r>
          </w:p>
        </w:tc>
        <w:tc>
          <w:tcPr>
            <w:tcW w:type="dxa" w:w="1080"/>
          </w:tcPr>
          <w:p>
            <w:r>
              <w:t>0.304</w:t>
            </w:r>
          </w:p>
        </w:tc>
        <w:tc>
          <w:tcPr>
            <w:tcW w:type="dxa" w:w="1080"/>
          </w:tcPr>
          <w:p>
            <w:r>
              <w:t>0.296</w:t>
            </w:r>
          </w:p>
        </w:tc>
        <w:tc>
          <w:tcPr>
            <w:tcW w:type="dxa" w:w="1080"/>
          </w:tcPr>
          <w:p>
            <w:r>
              <w:t>0.295</w:t>
            </w:r>
          </w:p>
        </w:tc>
        <w:tc>
          <w:tcPr>
            <w:tcW w:type="dxa" w:w="1080"/>
          </w:tcPr>
          <w:p>
            <w:r>
              <w:t>0.271</w:t>
            </w:r>
          </w:p>
        </w:tc>
        <w:tc>
          <w:tcPr>
            <w:tcW w:type="dxa" w:w="1080"/>
          </w:tcPr>
          <w:p>
            <w:r>
              <w:t>0.318</w:t>
            </w:r>
          </w:p>
        </w:tc>
      </w:tr>
      <w:tr>
        <w:tc>
          <w:tcPr>
            <w:tcW w:type="dxa" w:w="1080"/>
          </w:tcPr>
          <w:p>
            <w:r>
              <w:t>CS, rG = 0.6</w:t>
            </w:r>
          </w:p>
        </w:tc>
        <w:tc>
          <w:tcPr>
            <w:tcW w:type="dxa" w:w="1080"/>
          </w:tcPr>
          <w:p>
            <w:r>
              <w:t>0.70/0.86/0.95</w:t>
            </w:r>
          </w:p>
        </w:tc>
        <w:tc>
          <w:tcPr>
            <w:tcW w:type="dxa" w:w="1080"/>
          </w:tcPr>
          <w:p>
            <w:r>
              <w:t>0.540</w:t>
            </w:r>
          </w:p>
        </w:tc>
        <w:tc>
          <w:tcPr>
            <w:tcW w:type="dxa" w:w="1080"/>
          </w:tcPr>
          <w:p>
            <w:r>
              <w:t>0.590</w:t>
            </w:r>
          </w:p>
        </w:tc>
        <w:tc>
          <w:tcPr>
            <w:tcW w:type="dxa" w:w="1080"/>
          </w:tcPr>
          <w:p>
            <w:r>
              <w:t>0.573</w:t>
            </w:r>
          </w:p>
        </w:tc>
        <w:tc>
          <w:tcPr>
            <w:tcW w:type="dxa" w:w="1080"/>
          </w:tcPr>
          <w:p>
            <w:r>
              <w:t>0.573</w:t>
            </w:r>
          </w:p>
        </w:tc>
        <w:tc>
          <w:tcPr>
            <w:tcW w:type="dxa" w:w="1080"/>
          </w:tcPr>
          <w:p>
            <w:r>
              <w:t>0.556</w:t>
            </w:r>
          </w:p>
        </w:tc>
        <w:tc>
          <w:tcPr>
            <w:tcW w:type="dxa" w:w="1080"/>
          </w:tcPr>
          <w:p>
            <w:r>
              <w:t>0.589</w:t>
            </w:r>
          </w:p>
        </w:tc>
      </w:tr>
      <w:tr>
        <w:tc>
          <w:tcPr>
            <w:tcW w:type="dxa" w:w="1080"/>
          </w:tcPr>
          <w:p>
            <w:r>
              <w:t>RN, κ = 0.3</w:t>
            </w:r>
          </w:p>
        </w:tc>
        <w:tc>
          <w:tcPr>
            <w:tcW w:type="dxa" w:w="1080"/>
          </w:tcPr>
          <w:p>
            <w:r>
              <w:t>0.75/1.00/1.00</w:t>
            </w:r>
          </w:p>
        </w:tc>
        <w:tc>
          <w:tcPr>
            <w:tcW w:type="dxa" w:w="1080"/>
          </w:tcPr>
          <w:p>
            <w:r>
              <w:t>0.665</w:t>
            </w:r>
          </w:p>
        </w:tc>
        <w:tc>
          <w:tcPr>
            <w:tcW w:type="dxa" w:w="1080"/>
          </w:tcPr>
          <w:p>
            <w:r>
              <w:t>0.712</w:t>
            </w:r>
          </w:p>
        </w:tc>
        <w:tc>
          <w:tcPr>
            <w:tcW w:type="dxa" w:w="1080"/>
          </w:tcPr>
          <w:p>
            <w:r>
              <w:t>0.843</w:t>
            </w:r>
          </w:p>
        </w:tc>
        <w:tc>
          <w:tcPr>
            <w:tcW w:type="dxa" w:w="1080"/>
          </w:tcPr>
          <w:p>
            <w:r>
              <w:t>0.843</w:t>
            </w:r>
          </w:p>
        </w:tc>
        <w:tc>
          <w:tcPr>
            <w:tcW w:type="dxa" w:w="1080"/>
          </w:tcPr>
          <w:p>
            <w:r>
              <w:t>0.843</w:t>
            </w:r>
          </w:p>
        </w:tc>
        <w:tc>
          <w:tcPr>
            <w:tcW w:type="dxa" w:w="1080"/>
          </w:tcPr>
          <w:p>
            <w:r>
              <w:t>0.843</w:t>
            </w:r>
          </w:p>
        </w:tc>
      </w:tr>
      <w:tr>
        <w:tc>
          <w:tcPr>
            <w:tcW w:type="dxa" w:w="1080"/>
          </w:tcPr>
          <w:p>
            <w:r>
              <w:t>RN, κ = 0.8</w:t>
            </w:r>
          </w:p>
        </w:tc>
        <w:tc>
          <w:tcPr>
            <w:tcW w:type="dxa" w:w="1080"/>
          </w:tcPr>
          <w:p>
            <w:r>
              <w:t>0.57/1.00/1.00</w:t>
            </w:r>
          </w:p>
        </w:tc>
        <w:tc>
          <w:tcPr>
            <w:tcW w:type="dxa" w:w="1080"/>
          </w:tcPr>
          <w:p>
            <w:r>
              <w:t>0.446</w:t>
            </w:r>
          </w:p>
        </w:tc>
        <w:tc>
          <w:tcPr>
            <w:tcW w:type="dxa" w:w="1080"/>
          </w:tcPr>
          <w:p>
            <w:r>
              <w:t>0.485</w:t>
            </w:r>
          </w:p>
        </w:tc>
        <w:tc>
          <w:tcPr>
            <w:tcW w:type="dxa" w:w="1080"/>
          </w:tcPr>
          <w:p>
            <w:r>
              <w:t>0.832</w:t>
            </w:r>
          </w:p>
        </w:tc>
        <w:tc>
          <w:tcPr>
            <w:tcW w:type="dxa" w:w="1080"/>
          </w:tcPr>
          <w:p>
            <w:r>
              <w:t>0.832</w:t>
            </w:r>
          </w:p>
        </w:tc>
        <w:tc>
          <w:tcPr>
            <w:tcW w:type="dxa" w:w="1080"/>
          </w:tcPr>
          <w:p>
            <w:r>
              <w:t>0.832</w:t>
            </w:r>
          </w:p>
        </w:tc>
        <w:tc>
          <w:tcPr>
            <w:tcW w:type="dxa" w:w="1080"/>
          </w:tcPr>
          <w:p>
            <w:r>
              <w:t>0.832</w:t>
            </w:r>
          </w:p>
        </w:tc>
      </w:tr>
    </w:tbl>
    <w:p/>
    <w:p>
      <w:r>
        <w:t>(Task A accuracy, new environment, 10 replicates; CS = compound symmetry,</w:t>
      </w:r>
    </w:p>
    <w:p>
      <w:r>
        <w:t>RN = reaction norm. The rank diagnostic is the fraction of the estimated</w:t>
      </w:r>
    </w:p>
    <w:p>
      <w:r>
        <w:t>genetic covariance explained by the leading 1/2/3 factors.)</w:t>
      </w:r>
    </w:p>
    <w:p>
      <w:pPr>
        <w:pStyle w:val="Heading2"/>
      </w:pPr>
      <w:r>
        <w:t>4. Discussion</w:t>
      </w:r>
    </w:p>
    <w:p>
      <w:r>
        <w:rPr>
          <w:b/>
        </w:rPr>
        <w:t>Why MT-GBLUP wins.</w:t>
      </w:r>
      <w:r>
        <w:t xml:space="preserve"> Multi-trait GBLUP is the natural generative model for</w:t>
      </w:r>
    </w:p>
    <w:p>
      <w:r>
        <w:t>correlated environments: it weights each training environment by its genetic</w:t>
      </w:r>
    </w:p>
    <w:p>
      <w:r>
        <w:t xml:space="preserve">covariance with the target environment and shrinks the estimate through </w:t>
      </w:r>
      <w:r>
        <w:rPr>
          <w:b/>
        </w:rPr>
        <w:t>G</w:t>
      </w:r>
      <w:r>
        <w:t>.</w:t>
      </w:r>
    </w:p>
    <w:p>
      <w:r>
        <w:t>When environments are strongly correlated (high rG), the same genetic signal</w:t>
      </w:r>
    </w:p>
    <w:p>
      <w:r>
        <w:t>reappears in several environments, and MT-GBLUP pools it efficiently — which is</w:t>
      </w:r>
    </w:p>
    <w:p>
      <w:r>
        <w:t>why its advantage over single-environment GBLUP grows with rG. When rG is low,</w:t>
      </w:r>
    </w:p>
    <w:p>
      <w:r>
        <w:t>there is little shared signal to pool, and MT-GBLUP correctly reduces to</w:t>
      </w:r>
    </w:p>
    <w:p>
      <w:r>
        <w:t>near-single-environment behaviour. The naive mean cannot make either adjustment:</w:t>
      </w:r>
    </w:p>
    <w:p>
      <w:r>
        <w:t>it gives every environment equal weight regardless of its genetic relevance, so</w:t>
      </w:r>
    </w:p>
    <w:p>
      <w:r>
        <w:t>it is systematically worse than MT-GBLUP for predicting a new environment.</w:t>
      </w:r>
    </w:p>
    <w:p>
      <w:r>
        <w:rPr>
          <w:b/>
        </w:rPr>
        <w:t>The reaction-norm model: when it helps and when it does not.</w:t>
      </w:r>
      <w:r>
        <w:t xml:space="preserve"> The two G×E</w:t>
      </w:r>
    </w:p>
    <w:p>
      <w:r>
        <w:t>architectures we simulated frame the value of reduced-rank models precisely.</w:t>
      </w:r>
    </w:p>
    <w:p>
      <w:r>
        <w:t>Compound-symmetry G×E (Σ_g = (1−rG)I + rG J) is an FA(1) structure: a single</w:t>
      </w:r>
    </w:p>
    <w:p>
      <w:r>
        <w:t>common factor plus environment-specific variances (1−rG) along the diagonal. The</w:t>
      </w:r>
    </w:p>
    <w:p>
      <w:r>
        <w:t>reaction-norm model discards those environment-specific variances and</w:t>
      </w:r>
    </w:p>
    <w:p>
      <w:r>
        <w:t>constrains the remaining covariance to the span of {1, z}; because z (the</w:t>
      </w:r>
    </w:p>
    <w:p>
      <w:r>
        <w:t>environment mean) carries no genetic information in this setting and the</w:t>
      </w:r>
    </w:p>
    <w:p>
      <w:r>
        <w:t>specific variances are important — especially at low rG — the reaction-norm</w:t>
      </w:r>
    </w:p>
    <w:p>
      <w:r>
        <w:t>model can be worse than even the naive mean. The factor-analytic family makes</w:t>
      </w:r>
    </w:p>
    <w:p>
      <w:r>
        <w:t>this transparent: FA(1), which retains the specific variances, beats the naive</w:t>
      </w:r>
    </w:p>
    <w:p>
      <w:r>
        <w:t>mean and, at rG = 0.6, matches the full MT-GBLUP; adding factors beyond the true</w:t>
      </w:r>
    </w:p>
    <w:p>
      <w:r>
        <w:t>structure (FA(2), FA(3)) does not help. Under covariate-driven (reaction-norm)</w:t>
      </w:r>
    </w:p>
    <w:p>
      <w:r>
        <w:t>G×E the true covariance is genuinely rank-two, and the reaction-norm model</w:t>
      </w:r>
    </w:p>
    <w:p>
      <w:r>
        <w:t>matched MT-GBLUP exactly with oracle components and with estimated components</w:t>
      </w:r>
    </w:p>
    <w:p>
      <w:r>
        <w:t>matched the corresponding FA(2) model (Jarquín et al. 2014). The practical</w:t>
      </w:r>
    </w:p>
    <w:p>
      <w:r>
        <w:t>corollary is that the factor-analytic rank diagnostic — the proportion of the</w:t>
      </w:r>
    </w:p>
    <w:p>
      <w:r>
        <w:t>estimated genetic covariance carried by its leading factors — is a useful and</w:t>
      </w:r>
    </w:p>
    <w:p>
      <w:r>
        <w:t>cheap guide to model choice before fitting many candidate models.</w:t>
      </w:r>
    </w:p>
    <w:p>
      <w:r>
        <w:rPr>
          <w:b/>
        </w:rPr>
        <w:t>Agreement between simulation and real data.</w:t>
      </w:r>
      <w:r>
        <w:t xml:space="preserve"> The real wheat panel behaved</w:t>
      </w:r>
    </w:p>
    <w:p>
      <w:r>
        <w:t>exactly as the simulation predicts. E1 is genetically nearly independent of the</w:t>
      </w:r>
    </w:p>
    <w:p>
      <w:r>
        <w:t>other environments, and it is precisely there that cross-environment borrowing</w:t>
      </w:r>
    </w:p>
    <w:p>
      <w:r>
        <w:t>fails; the correlated block {E2, E4, E5} is where MT-GBLUP earns its advantage.</w:t>
      </w:r>
    </w:p>
    <w:p>
      <w:r>
        <w:t>The qualitative ranking of methods was identical in simulation and real data,</w:t>
      </w:r>
    </w:p>
    <w:p>
      <w:r>
        <w:t>supporting the generality of the conclusions beyond the specific panel. The</w:t>
      </w:r>
    </w:p>
    <w:p>
      <w:r>
        <w:t>robustness analyses reinforce this: the ranking was unchanged under 30% missing</w:t>
      </w:r>
    </w:p>
    <w:p>
      <w:r>
        <w:t>data, and the structured-G×E results show that the reaction-norm model's</w:t>
      </w:r>
    </w:p>
    <w:p>
      <w:r>
        <w:t>inferiority is specific to compound-symmetry G×E rather than to reduced-rank</w:t>
      </w:r>
    </w:p>
    <w:p>
      <w:r>
        <w:t>models per se.</w:t>
      </w:r>
    </w:p>
    <w:p>
      <w:r>
        <w:rPr>
          <w:b/>
        </w:rPr>
        <w:t>Limitations.</w:t>
      </w:r>
      <w:r>
        <w:t xml:space="preserve"> (i) With one replicate per line × environment cell, σ²_g×e and</w:t>
      </w:r>
    </w:p>
    <w:p>
      <w:r>
        <w:t>σ²_e are confounded in the ANOVA-based heritability; the marker-based</w:t>
      </w:r>
    </w:p>
    <w:p>
      <w:r>
        <w:t>Haseman–Elston estimator separates them but relies on the GRM being a faithful</w:t>
      </w:r>
    </w:p>
    <w:p>
      <w:r>
        <w:t>relationship measure. (ii) The simulation used oracle variance components so</w:t>
      </w:r>
    </w:p>
    <w:p>
      <w:r>
        <w:t>that differences reflect model structure only; in practice these must be</w:t>
      </w:r>
    </w:p>
    <w:p>
      <w:r>
        <w:t>estimated, and estimation error will reduce (but not reorder) accuracies.</w:t>
      </w:r>
    </w:p>
    <w:p>
      <w:r>
        <w:t>(iii) Real-data Task A accuracy is reported against the observed phenotype and</w:t>
      </w:r>
    </w:p>
    <w:p>
      <w:r>
        <w:t>is therefore scaled by √h² relative to the simulation's true-breeding-value</w:t>
      </w:r>
    </w:p>
    <w:p>
      <w:r>
        <w:t>metric. (iv) We used a single crop panel, DArT (0/1) markers, and additive-only</w:t>
      </w:r>
    </w:p>
    <w:p>
      <w:r>
        <w:t>models; the DArT coding and the finite marker panel influence the GRM. (v) The</w:t>
      </w:r>
    </w:p>
    <w:p>
      <w:r>
        <w:t>reaction-norm model used only the environment mean as covariate; richer</w:t>
      </w:r>
    </w:p>
    <w:p>
      <w:r>
        <w:t>environmental covariates could improve it.</w:t>
      </w:r>
    </w:p>
    <w:p>
      <w:r>
        <w:rPr>
          <w:b/>
        </w:rPr>
        <w:t>Practical recommendations.</w:t>
      </w:r>
      <w:r>
        <w:t xml:space="preserve"> When a multi-environment training set exists,</w:t>
      </w:r>
    </w:p>
    <w:p>
      <w:r>
        <w:t>MT-GBLUP should be the default model: it is never worse than single-environment</w:t>
      </w:r>
    </w:p>
    <w:p>
      <w:r>
        <w:t>GBLUP and its advantage grows with the genetic correlation among environments.</w:t>
      </w:r>
    </w:p>
    <w:p>
      <w:r>
        <w:t>Breeders should estimate the type-B genetic correlation to decide whether MET</w:t>
      </w:r>
    </w:p>
    <w:p>
      <w:r>
        <w:t>data can help a new target environment: if rG with the target is low, additional</w:t>
      </w:r>
    </w:p>
    <w:p>
      <w:r>
        <w:t>phenotyping in that target environment is more valuable than borrowing from</w:t>
      </w:r>
    </w:p>
    <w:p>
      <w:r>
        <w:t>dissimilar environments. Reaction-norm models should be reserved for settings</w:t>
      </w:r>
    </w:p>
    <w:p>
      <w:r>
        <w:t>with low-rank, covariate-driven G×E. Future work should extend the benchmark to</w:t>
      </w:r>
    </w:p>
    <w:p>
      <w:r>
        <w:t>larger environmental panels, factor-analytic rank selection, explicitly</w:t>
      </w:r>
    </w:p>
    <w:p>
      <w:r>
        <w:t>unbalanced designs beyond MCAR missingness, and higher-order (multi-trait ×</w:t>
      </w:r>
    </w:p>
    <w:p>
      <w:r>
        <w:t>multi-environment) models.</w:t>
      </w:r>
    </w:p>
    <w:p>
      <w:pPr>
        <w:pStyle w:val="Heading2"/>
      </w:pPr>
      <w:r>
        <w:t>5. Conclusions</w:t>
      </w:r>
    </w:p>
    <w:p>
      <w:r>
        <w:t>Across a controlled simulation gradient and a real CIMMYT wheat panel,</w:t>
      </w:r>
    </w:p>
    <w:p>
      <w:r>
        <w:t>multi-trait GBLUP was the most accurate multi-environment genomic-prediction</w:t>
      </w:r>
    </w:p>
    <w:p>
      <w:r>
        <w:t>method. Its advantage over single-environment GBLUP and the naive</w:t>
      </w:r>
    </w:p>
    <w:p>
      <w:r>
        <w:t>multi-environment mean grows with the genetic correlation among environments and</w:t>
      </w:r>
    </w:p>
    <w:p>
      <w:r>
        <w:t>is largest at low heritability. A reduced-rank reaction-norm model is inferior</w:t>
      </w:r>
    </w:p>
    <w:p>
      <w:r>
        <w:t>under compound-symmetry G×E but matches MT-GBLUP when G×E is genuinely low-rank</w:t>
      </w:r>
    </w:p>
    <w:p>
      <w:r>
        <w:t>and covariate-driven. A factor-analytic rank diagnostic predicts which regime</w:t>
      </w:r>
    </w:p>
    <w:p>
      <w:r>
        <w:t>applies and hence which model to use. The model ranking is robust to moderate</w:t>
      </w:r>
    </w:p>
    <w:p>
      <w:r>
        <w:t>missing data. These results give breeders a simple, evidence-based rule for</w:t>
      </w:r>
    </w:p>
    <w:p>
      <w:r>
        <w:t>model choice in multi-environment genomic selection.</w:t>
      </w:r>
    </w:p>
    <w:p>
      <w:pPr>
        <w:pStyle w:val="Heading2"/>
      </w:pPr>
      <w:r>
        <w:t>6. Declarations</w:t>
      </w:r>
    </w:p>
    <w:p>
      <w:r>
        <w:rPr>
          <w:b/>
        </w:rPr>
        <w:t>Data availability.</w:t>
      </w:r>
      <w:r>
        <w:t xml:space="preserve"> The wheat dataset is public (BGLR R package; Crossa et</w:t>
      </w:r>
    </w:p>
    <w:p>
      <w:r>
        <w:t>al. 2010) and is provided in `data/wheat.RData` (byte-identical to the official</w:t>
      </w:r>
    </w:p>
    <w:p>
      <w:r>
        <w:t xml:space="preserve">release). </w:t>
      </w:r>
      <w:r>
        <w:rPr>
          <w:b/>
        </w:rPr>
        <w:t>Code availability.</w:t>
      </w:r>
      <w:r>
        <w:t xml:space="preserve"> Full reproducible pipeline in `analysis/`</w:t>
      </w:r>
    </w:p>
    <w:p>
      <w:r>
        <w:t xml:space="preserve">(Python 3; dependencies in `requirements.txt`). </w:t>
      </w:r>
      <w:r>
        <w:rPr>
          <w:b/>
        </w:rPr>
        <w:t>Conflicts of interest.</w:t>
      </w:r>
      <w:r>
        <w:t xml:space="preserve"> None</w:t>
      </w:r>
    </w:p>
    <w:p>
      <w:r>
        <w:t xml:space="preserve">declared. </w:t>
      </w:r>
      <w:r>
        <w:rPr>
          <w:b/>
        </w:rPr>
        <w:t>Funding.</w:t>
      </w:r>
      <w:r>
        <w:t xml:space="preserve"> [to be completed]. </w:t>
      </w:r>
      <w:r>
        <w:rPr>
          <w:b/>
        </w:rPr>
        <w:t>Author contributions.</w:t>
      </w:r>
      <w:r>
        <w:t xml:space="preserve"> [to be</w:t>
      </w:r>
    </w:p>
    <w:p>
      <w:r>
        <w:t>completed].</w:t>
      </w:r>
    </w:p>
    <w:p>
      <w:pPr>
        <w:pStyle w:val="Heading2"/>
      </w:pPr>
      <w:r>
        <w:t>7. References</w:t>
      </w:r>
    </w:p>
    <w:p>
      <w:r>
        <w:t>1. Meuwissen THE, Hayes BJ, Goddard ME (2001) Prediction of total genetic value</w:t>
      </w:r>
    </w:p>
    <w:p>
      <w:r>
        <w:t>using genome-wide dense marker maps. Genetics 157:1819–1829.</w:t>
      </w:r>
    </w:p>
    <w:p>
      <w:r>
        <w:t>2. Habier D, Fernando RL, Dekkers JCM (2007) The impact of genetic relationship</w:t>
      </w:r>
    </w:p>
    <w:p>
      <w:r>
        <w:t>information on genome-assisted breeding values. Genetics 177:2389–2397.</w:t>
      </w:r>
    </w:p>
    <w:p>
      <w:r>
        <w:t>doi:10.1534/genetics.107.081190</w:t>
      </w:r>
    </w:p>
    <w:p>
      <w:r>
        <w:t>3. VanRaden PM (2008) Efficient methods to compute genomic predictions. J Dairy</w:t>
      </w:r>
    </w:p>
    <w:p>
      <w:r>
        <w:t>Sci 91:4414–4423. doi:10.3168/jds.2007-0980</w:t>
      </w:r>
    </w:p>
    <w:p>
      <w:r>
        <w:t>4. Crossa J, de los Campos G, Pérez P, Gianola D, Burgueño J, Araus JL, et al.</w:t>
      </w:r>
    </w:p>
    <w:p>
      <w:r>
        <w:t>(2010) Prediction of genetic values of quantitative traits in plant breeding</w:t>
      </w:r>
    </w:p>
    <w:p>
      <w:r>
        <w:t>using pedigree and molecular markers. Genetics 186:713–724.</w:t>
      </w:r>
    </w:p>
    <w:p>
      <w:r>
        <w:t>doi:10.1534/genetics.110.118521</w:t>
      </w:r>
    </w:p>
    <w:p>
      <w:r>
        <w:t>5. Pérez P, de los Campos G, Crossa J, Gianola D (2010) Genomic-enabled</w:t>
      </w:r>
    </w:p>
    <w:p>
      <w:r>
        <w:t>prediction based on molecular markers and pedigree using the Bayesian Linear</w:t>
      </w:r>
    </w:p>
    <w:p>
      <w:r>
        <w:t>Regression Package in R. Plant Genome 3:106–116.</w:t>
      </w:r>
    </w:p>
    <w:p>
      <w:r>
        <w:t>doi:10.3835/plantgenome2010.04.0005</w:t>
      </w:r>
    </w:p>
    <w:p>
      <w:r>
        <w:t>6. Burgueño J, de los Campos G, Weigel K, Crossa J (2012) Genomic prediction of</w:t>
      </w:r>
    </w:p>
    <w:p>
      <w:r>
        <w:t>breeding values when modeling genotype × environment interaction using</w:t>
      </w:r>
    </w:p>
    <w:p>
      <w:r>
        <w:t>pedigree and dense molecular markers. Crop Sci 52:707–719.</w:t>
      </w:r>
    </w:p>
    <w:p>
      <w:r>
        <w:t>doi:10.2135/cropsci2011.06.0299</w:t>
      </w:r>
    </w:p>
    <w:p>
      <w:r>
        <w:t>7. Jarquín D, Crossa J, Lacaze X, du Cheyron P, Daucourt J, Lorgeou J, et al.</w:t>
      </w:r>
    </w:p>
    <w:p>
      <w:r>
        <w:t>(2014) A reaction norm model for genomic selection using high-dimensional</w:t>
      </w:r>
    </w:p>
    <w:p>
      <w:r>
        <w:t>genomic and environmental data. Theor Appl Genet 127:595–607.</w:t>
      </w:r>
    </w:p>
    <w:p>
      <w:r>
        <w:t>doi:10.1007/s00122-013-2243-1</w:t>
      </w:r>
    </w:p>
    <w:p>
      <w:r>
        <w:t>8. Lopez-Cruz M, Crossa J, Bonnett D, Dreisigacker S, Poland J, Jannink JL, et</w:t>
      </w:r>
    </w:p>
    <w:p>
      <w:r>
        <w:t>al. (2015) Increased prediction accuracy in wheat breeding trials using a</w:t>
      </w:r>
    </w:p>
    <w:p>
      <w:r>
        <w:t>marker × environment interaction genomic selection model. G3 5:569–582.</w:t>
      </w:r>
    </w:p>
    <w:p>
      <w:r>
        <w:t>doi:10.1534/g3.114.016097</w:t>
      </w:r>
    </w:p>
    <w:p>
      <w:r>
        <w:t>9. Crossa J, Pérez-Rodríguez P, Cuevas J, Montesinos-López OAF, Jarquín D, de</w:t>
      </w:r>
    </w:p>
    <w:p>
      <w:r>
        <w:t>los Campos G, et al. (2016) A genomic Bayesian multi-trait and</w:t>
      </w:r>
    </w:p>
    <w:p>
      <w:r>
        <w:t>multi-environment model. G3 6:2725–2744. doi:10.1534/g3.116.032359</w:t>
      </w:r>
    </w:p>
    <w:p>
      <w:r>
        <w:t>10. Lado B, Barrios PG, Quincke M, Silva P, Gutiérrez L (2016) Modeling genotype</w:t>
      </w:r>
    </w:p>
    <w:p>
      <w:r>
        <w:t>× environment interaction for genomic selection with unbalanced data from a</w:t>
      </w:r>
    </w:p>
    <w:p>
      <w:r>
        <w:t>wheat breeding program. Crop Sci 56:2165–2179. doi:10.2135/cropsci2015.04.0207</w:t>
      </w:r>
    </w:p>
    <w:p>
      <w:r>
        <w:t>11. Haseman JK, Elston RC (1972) The investigation of linkage between a</w:t>
      </w:r>
    </w:p>
    <w:p>
      <w:r>
        <w:t>quantitative trait and a marker locus. Behav Genet 2:3–19.</w:t>
      </w:r>
    </w:p>
    <w:p>
      <w:r>
        <w:t>doi:10.1007/BF01066731</w:t>
      </w:r>
    </w:p>
    <w:p>
      <w:r>
        <w:t>12. Lee SH, Yang J, Goddard ME, Visscher PM, Wray NR (2012) Estimation of</w:t>
      </w:r>
    </w:p>
    <w:p>
      <w:r>
        <w:t>pleiotropy between complex diseases using single-nucleotide</w:t>
      </w:r>
    </w:p>
    <w:p>
      <w:r>
        <w:t>polymorphism-derived genomic relationships and restricted maximum likelihood.</w:t>
      </w:r>
    </w:p>
    <w:p>
      <w:r>
        <w:t>Bioinformatics 28:2540–2542. doi:10.1093/bioinformatics/bts474</w:t>
      </w:r>
    </w:p>
    <w:p>
      <w:r>
        <w:t>13. Comstock RE, Moll RH (1963) Genotype-environment interactions. In: Statistical</w:t>
      </w:r>
    </w:p>
    <w:p>
      <w:r>
        <w:t>Genetics and Plant Breeding, NAS–NRC Publ. 982:164–196.</w:t>
      </w:r>
    </w:p>
    <w:p>
      <w:r>
        <w:t>14. Falconer DS, Mackay TFC (1996) Introduction to Quantitative Genetics, 4th edn.</w:t>
      </w:r>
    </w:p>
    <w:p>
      <w:r>
        <w:t>Longman, Harlow.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