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C670" w14:textId="449C7C82" w:rsidR="00764768" w:rsidRPr="0014322D" w:rsidRDefault="00764768" w:rsidP="0014322D">
      <w:pPr>
        <w:pStyle w:val="Heading2"/>
        <w:numPr>
          <w:ilvl w:val="0"/>
          <w:numId w:val="2"/>
        </w:numPr>
        <w:rPr>
          <w:rFonts w:cs="Times New Roman"/>
          <w:sz w:val="28"/>
          <w:szCs w:val="28"/>
        </w:rPr>
      </w:pPr>
      <w:r w:rsidRPr="00764768">
        <w:rPr>
          <w:rFonts w:cs="Times New Roman"/>
          <w:sz w:val="28"/>
          <w:szCs w:val="28"/>
        </w:rPr>
        <w:t>Exe</w:t>
      </w:r>
      <w:r w:rsidR="0014322D">
        <w:rPr>
          <w:rFonts w:cs="Times New Roman"/>
          <w:sz w:val="28"/>
          <w:szCs w:val="28"/>
        </w:rPr>
        <w:t>c</w:t>
      </w:r>
      <w:r w:rsidRPr="0014322D">
        <w:rPr>
          <w:rFonts w:cs="Times New Roman"/>
          <w:sz w:val="28"/>
          <w:szCs w:val="28"/>
        </w:rPr>
        <w:t>utive Summary</w:t>
      </w:r>
      <w:r w:rsidR="0006143B" w:rsidRPr="0014322D">
        <w:rPr>
          <w:rFonts w:cs="Times New Roman"/>
          <w:sz w:val="28"/>
          <w:szCs w:val="28"/>
        </w:rPr>
        <w:t>:</w:t>
      </w:r>
    </w:p>
    <w:p w14:paraId="60D59451" w14:textId="291565DB" w:rsidR="00996DE5" w:rsidRPr="00996DE5" w:rsidRDefault="00996DE5" w:rsidP="00996DE5">
      <w:pPr>
        <w:pStyle w:val="Text"/>
        <w:jc w:val="both"/>
      </w:pPr>
      <w:proofErr w:type="spellStart"/>
      <w:r w:rsidRPr="00996DE5">
        <w:t>Effervesce’s</w:t>
      </w:r>
      <w:proofErr w:type="spellEnd"/>
      <w:r w:rsidRPr="00996DE5">
        <w:t xml:space="preserve"> declining volume share is the result of </w:t>
      </w:r>
      <w:r w:rsidRPr="00996DE5">
        <w:rPr>
          <w:b/>
          <w:bCs/>
        </w:rPr>
        <w:t>two structurally different consumer shifts</w:t>
      </w:r>
      <w:r w:rsidRPr="00996DE5">
        <w:t>, not a single competitive failure. Treating this as a broad brand erosion would misdiagnose the problem and dilute the response.</w:t>
      </w:r>
    </w:p>
    <w:p w14:paraId="7CA7CA1A" w14:textId="77777777" w:rsidR="00996DE5" w:rsidRPr="00996DE5" w:rsidRDefault="00996DE5" w:rsidP="00996DE5">
      <w:pPr>
        <w:pStyle w:val="Text"/>
        <w:jc w:val="both"/>
      </w:pPr>
      <w:r w:rsidRPr="00996DE5">
        <w:t xml:space="preserve">Our analysis shows that </w:t>
      </w:r>
      <w:r w:rsidRPr="00996DE5">
        <w:rPr>
          <w:b/>
          <w:bCs/>
        </w:rPr>
        <w:t>health-conscious, premium consumers—particularly Millennials with high brand loyalty—are churning to Zest-Bio</w:t>
      </w:r>
      <w:r w:rsidRPr="00996DE5">
        <w:t xml:space="preserve">. This segment is not driven by price discounts but by functional and health-led cues, including GLP-1–friendly positioning and sustainability claims. Zest-Bio’s gains are therefore concentrated in </w:t>
      </w:r>
      <w:proofErr w:type="spellStart"/>
      <w:r w:rsidRPr="00996DE5">
        <w:t>Effervesce’s</w:t>
      </w:r>
      <w:proofErr w:type="spellEnd"/>
      <w:r w:rsidRPr="00996DE5">
        <w:t xml:space="preserve"> </w:t>
      </w:r>
      <w:r w:rsidRPr="00996DE5">
        <w:rPr>
          <w:b/>
          <w:bCs/>
        </w:rPr>
        <w:t>highest long-term value segment</w:t>
      </w:r>
      <w:r w:rsidRPr="00996DE5">
        <w:t>, posing a strategic rather than tactical threat.</w:t>
      </w:r>
    </w:p>
    <w:p w14:paraId="4C01501D" w14:textId="77777777" w:rsidR="00996DE5" w:rsidRPr="00996DE5" w:rsidRDefault="00996DE5" w:rsidP="00996DE5">
      <w:pPr>
        <w:pStyle w:val="Text"/>
        <w:jc w:val="both"/>
      </w:pPr>
      <w:r w:rsidRPr="00996DE5">
        <w:t xml:space="preserve">In parallel, Effervesce is losing </w:t>
      </w:r>
      <w:r w:rsidRPr="00996DE5">
        <w:rPr>
          <w:b/>
          <w:bCs/>
        </w:rPr>
        <w:t>value-seeking and Gen-X consumers</w:t>
      </w:r>
      <w:r w:rsidRPr="00996DE5">
        <w:t xml:space="preserve">, but this erosion is primarily toward </w:t>
      </w:r>
      <w:r w:rsidRPr="00996DE5">
        <w:rPr>
          <w:b/>
          <w:bCs/>
        </w:rPr>
        <w:t>private labels</w:t>
      </w:r>
      <w:r w:rsidRPr="00996DE5">
        <w:t>, not Zest-Bio. This indicates a separate, price-driven challenge caused by pack-size inefficiencies and declining effectiveness of traditional promotions, rather than direct brand substitution.</w:t>
      </w:r>
    </w:p>
    <w:p w14:paraId="696B4E5C" w14:textId="77777777" w:rsidR="00996DE5" w:rsidRPr="00996DE5" w:rsidRDefault="00996DE5" w:rsidP="00996DE5">
      <w:pPr>
        <w:pStyle w:val="Text"/>
        <w:jc w:val="both"/>
      </w:pPr>
      <w:r w:rsidRPr="00996DE5">
        <w:t>Marketing mix analysis reveals clear misalignment with younger cohorts. Gen-Z consumers display premium aspirations but low commitment, exposing a gap in the current price ladder between entry and family-size packs. Additionally, promotional spend is overly concentrated on price-based mechanics (e.g., BOGO), while digital and app-based activations—more relevant for Gen-Z—remain underleveraged.</w:t>
      </w:r>
    </w:p>
    <w:p w14:paraId="54AA19DB" w14:textId="77777777" w:rsidR="00996DE5" w:rsidRPr="00996DE5" w:rsidRDefault="00996DE5" w:rsidP="00996DE5">
      <w:pPr>
        <w:pStyle w:val="Text"/>
        <w:jc w:val="both"/>
      </w:pPr>
      <w:r w:rsidRPr="00996DE5">
        <w:t xml:space="preserve">Based on these insights, we recommend that Aurora pursue a </w:t>
      </w:r>
      <w:r w:rsidRPr="00996DE5">
        <w:rPr>
          <w:b/>
          <w:bCs/>
        </w:rPr>
        <w:t>functional line extension under the Effervesce brand</w:t>
      </w:r>
      <w:r w:rsidRPr="00996DE5">
        <w:t xml:space="preserve">, targeted at health-conscious premium consumers. This strategy directly counters Zest-Bio’s value proposition, protects </w:t>
      </w:r>
      <w:proofErr w:type="spellStart"/>
      <w:r w:rsidRPr="00996DE5">
        <w:t>Effervesce’s</w:t>
      </w:r>
      <w:proofErr w:type="spellEnd"/>
      <w:r w:rsidRPr="00996DE5">
        <w:t xml:space="preserve"> future profit pools, and leverages existing brand equity. A retro-premiumization strategy alone would fail to address the functional and health-driven shifts that are redefining consumer choice in this category.</w:t>
      </w:r>
    </w:p>
    <w:p w14:paraId="1E0D5362" w14:textId="77777777" w:rsidR="0006143B" w:rsidRPr="0006143B" w:rsidRDefault="0006143B" w:rsidP="00B55611">
      <w:pPr>
        <w:pStyle w:val="Text"/>
        <w:ind w:left="0"/>
      </w:pPr>
    </w:p>
    <w:p w14:paraId="4AA0A402" w14:textId="4589EFAF" w:rsidR="002E4549" w:rsidRPr="002E4549" w:rsidRDefault="0006143B" w:rsidP="002E4549">
      <w:pPr>
        <w:pStyle w:val="Heading2"/>
        <w:numPr>
          <w:ilvl w:val="0"/>
          <w:numId w:val="2"/>
        </w:numPr>
        <w:rPr>
          <w:rFonts w:cs="Times New Roman"/>
          <w:sz w:val="28"/>
          <w:szCs w:val="28"/>
        </w:rPr>
      </w:pPr>
      <w:r>
        <w:rPr>
          <w:rFonts w:cs="Times New Roman"/>
          <w:sz w:val="28"/>
          <w:szCs w:val="28"/>
        </w:rPr>
        <w:t>Problem Statement and Objectives:</w:t>
      </w:r>
    </w:p>
    <w:p w14:paraId="0279EBA4" w14:textId="3328F0A4" w:rsidR="00BE5337" w:rsidRPr="00BE5337" w:rsidRDefault="00BE5337" w:rsidP="00BE5337">
      <w:pPr>
        <w:pStyle w:val="Text"/>
        <w:jc w:val="both"/>
      </w:pPr>
      <w:r w:rsidRPr="00BE5337">
        <w:t xml:space="preserve">Aurora CPG’s flagship soda brand, </w:t>
      </w:r>
      <w:r w:rsidRPr="00BE5337">
        <w:rPr>
          <w:b/>
          <w:bCs/>
        </w:rPr>
        <w:t>Effervesce</w:t>
      </w:r>
      <w:r w:rsidRPr="00BE5337">
        <w:t xml:space="preserve">, is experiencing its third consecutive quarter of declining volume share in North America, despite significant investment in a large-scale 2025 marketing campaign. At the same time, a fast-growing challenger, </w:t>
      </w:r>
      <w:r w:rsidRPr="00BE5337">
        <w:rPr>
          <w:b/>
          <w:bCs/>
        </w:rPr>
        <w:t>Zest-Bio</w:t>
      </w:r>
      <w:r w:rsidRPr="00BE5337">
        <w:t>, is gaining visibility on the digital shelf by positioning itself as health-forward and GLP-1 friendly, raising concerns about competitive substitution and long-term brand relevance.</w:t>
      </w:r>
    </w:p>
    <w:p w14:paraId="08DCCCD3" w14:textId="19AA643D" w:rsidR="00BE5337" w:rsidRDefault="00BE5337" w:rsidP="00BE5337">
      <w:pPr>
        <w:pStyle w:val="Text"/>
        <w:jc w:val="both"/>
      </w:pPr>
      <w:r w:rsidRPr="00BE5337">
        <w:t xml:space="preserve">The core challenge is not merely identifying the decline, but </w:t>
      </w:r>
      <w:r w:rsidRPr="00BE5337">
        <w:rPr>
          <w:b/>
          <w:bCs/>
        </w:rPr>
        <w:t>understanding who Effervesce is losing, why they are churning, and whether this loss represents a temporary pricing issue or a deeper structural shift in consumer preferences</w:t>
      </w:r>
      <w:r w:rsidRPr="00BE5337">
        <w:t xml:space="preserve">. Without this clarity, any response risks misallocating marketing spend and weakening </w:t>
      </w:r>
      <w:proofErr w:type="spellStart"/>
      <w:r w:rsidRPr="00BE5337">
        <w:t>Effervesce’s</w:t>
      </w:r>
      <w:proofErr w:type="spellEnd"/>
      <w:r w:rsidRPr="00BE5337">
        <w:t xml:space="preserve"> strategic position in an increasingly health-conscious and digitally driven beverage market.</w:t>
      </w:r>
    </w:p>
    <w:p w14:paraId="01CD4ED2" w14:textId="77777777" w:rsidR="009F3F26" w:rsidRPr="00BE5337" w:rsidRDefault="009F3F26" w:rsidP="00BE5337">
      <w:pPr>
        <w:pStyle w:val="Text"/>
        <w:jc w:val="both"/>
      </w:pPr>
    </w:p>
    <w:p w14:paraId="7B7CCF2F" w14:textId="5304A3C8" w:rsidR="00BE5337" w:rsidRPr="00BE5337" w:rsidRDefault="00BE5337" w:rsidP="00BE5337">
      <w:pPr>
        <w:pStyle w:val="Text"/>
        <w:jc w:val="both"/>
        <w:rPr>
          <w:b/>
          <w:bCs/>
        </w:rPr>
      </w:pPr>
      <w:r w:rsidRPr="00BE5337">
        <w:rPr>
          <w:b/>
          <w:bCs/>
        </w:rPr>
        <w:lastRenderedPageBreak/>
        <w:t>Objective</w:t>
      </w:r>
      <w:r>
        <w:rPr>
          <w:b/>
          <w:bCs/>
        </w:rPr>
        <w:t>s:</w:t>
      </w:r>
    </w:p>
    <w:p w14:paraId="7E2546AA" w14:textId="77777777" w:rsidR="00BE5337" w:rsidRPr="00BE5337" w:rsidRDefault="00BE5337" w:rsidP="00BE5337">
      <w:pPr>
        <w:pStyle w:val="Text"/>
        <w:jc w:val="both"/>
      </w:pPr>
      <w:r w:rsidRPr="00BE5337">
        <w:t xml:space="preserve">The objective of this analysis is to </w:t>
      </w:r>
      <w:r w:rsidRPr="00BE5337">
        <w:rPr>
          <w:b/>
          <w:bCs/>
        </w:rPr>
        <w:t xml:space="preserve">diagnose the drivers of </w:t>
      </w:r>
      <w:proofErr w:type="spellStart"/>
      <w:r w:rsidRPr="00BE5337">
        <w:rPr>
          <w:b/>
          <w:bCs/>
        </w:rPr>
        <w:t>Effervesce’s</w:t>
      </w:r>
      <w:proofErr w:type="spellEnd"/>
      <w:r w:rsidRPr="00BE5337">
        <w:rPr>
          <w:b/>
          <w:bCs/>
        </w:rPr>
        <w:t xml:space="preserve"> volume share decline and translate data-driven insights into clear, actionable strategic recommendations</w:t>
      </w:r>
      <w:r w:rsidRPr="00BE5337">
        <w:t>. Specifically, the analysis aims to:</w:t>
      </w:r>
    </w:p>
    <w:p w14:paraId="7714ED0D" w14:textId="77777777" w:rsidR="00BE5337" w:rsidRPr="00BE5337" w:rsidRDefault="00BE5337" w:rsidP="00BE5337">
      <w:pPr>
        <w:pStyle w:val="Text"/>
        <w:numPr>
          <w:ilvl w:val="0"/>
          <w:numId w:val="10"/>
        </w:numPr>
        <w:jc w:val="both"/>
      </w:pPr>
      <w:r w:rsidRPr="00BE5337">
        <w:t xml:space="preserve">Ensure data reliability by identifying and addressing inconsistencies or outliers that could distort consumer </w:t>
      </w:r>
      <w:proofErr w:type="spellStart"/>
      <w:r w:rsidRPr="00BE5337">
        <w:t>behavior</w:t>
      </w:r>
      <w:proofErr w:type="spellEnd"/>
      <w:r w:rsidRPr="00BE5337">
        <w:t xml:space="preserve"> insights</w:t>
      </w:r>
    </w:p>
    <w:p w14:paraId="78D71151" w14:textId="77777777" w:rsidR="00BE5337" w:rsidRPr="00BE5337" w:rsidRDefault="00BE5337" w:rsidP="00BE5337">
      <w:pPr>
        <w:pStyle w:val="Text"/>
        <w:numPr>
          <w:ilvl w:val="0"/>
          <w:numId w:val="10"/>
        </w:numPr>
        <w:jc w:val="both"/>
      </w:pPr>
      <w:r w:rsidRPr="00BE5337">
        <w:t>Identify which consumer segments are churning and assess whether share loss is driven by competitive substitution (Zest-Bio) or by value migration toward private labels</w:t>
      </w:r>
    </w:p>
    <w:p w14:paraId="6DC04B88" w14:textId="77777777" w:rsidR="00BE5337" w:rsidRPr="00BE5337" w:rsidRDefault="00BE5337" w:rsidP="00BE5337">
      <w:pPr>
        <w:pStyle w:val="Text"/>
        <w:numPr>
          <w:ilvl w:val="0"/>
          <w:numId w:val="10"/>
        </w:numPr>
        <w:jc w:val="both"/>
      </w:pPr>
      <w:r w:rsidRPr="00BE5337">
        <w:t xml:space="preserve">Evaluate the alignment of </w:t>
      </w:r>
      <w:proofErr w:type="spellStart"/>
      <w:r w:rsidRPr="00BE5337">
        <w:t>Effervesce’s</w:t>
      </w:r>
      <w:proofErr w:type="spellEnd"/>
      <w:r w:rsidRPr="00BE5337">
        <w:t xml:space="preserve"> pricing, pack-size architecture, and promotional strategy with evolving consumer </w:t>
      </w:r>
      <w:proofErr w:type="spellStart"/>
      <w:r w:rsidRPr="00BE5337">
        <w:t>behaviors</w:t>
      </w:r>
      <w:proofErr w:type="spellEnd"/>
      <w:r w:rsidRPr="00BE5337">
        <w:t>, particularly among Millennials and Gen-Z</w:t>
      </w:r>
    </w:p>
    <w:p w14:paraId="051E8B08" w14:textId="77777777" w:rsidR="00BE5337" w:rsidRPr="00BE5337" w:rsidRDefault="00BE5337" w:rsidP="00BE5337">
      <w:pPr>
        <w:pStyle w:val="Text"/>
        <w:numPr>
          <w:ilvl w:val="0"/>
          <w:numId w:val="10"/>
        </w:numPr>
        <w:jc w:val="both"/>
      </w:pPr>
      <w:r w:rsidRPr="00BE5337">
        <w:t xml:space="preserve">Recommend a focused strategic pivot that protects </w:t>
      </w:r>
      <w:proofErr w:type="spellStart"/>
      <w:r w:rsidRPr="00BE5337">
        <w:t>Effervesce’s</w:t>
      </w:r>
      <w:proofErr w:type="spellEnd"/>
      <w:r w:rsidRPr="00BE5337">
        <w:t xml:space="preserve"> future growth segments while preserving brand equity</w:t>
      </w:r>
    </w:p>
    <w:p w14:paraId="2E1E7102" w14:textId="77777777" w:rsidR="00764768" w:rsidRPr="00764768" w:rsidRDefault="00764768" w:rsidP="00764768">
      <w:pPr>
        <w:rPr>
          <w:rFonts w:ascii="Times New Roman" w:hAnsi="Times New Roman" w:cs="Times New Roman"/>
          <w:sz w:val="24"/>
          <w:szCs w:val="24"/>
        </w:rPr>
      </w:pPr>
    </w:p>
    <w:p w14:paraId="79C2A54E" w14:textId="43899AE1" w:rsidR="00B81C6E" w:rsidRDefault="00764768" w:rsidP="00595D69">
      <w:pPr>
        <w:pStyle w:val="Heading2"/>
        <w:numPr>
          <w:ilvl w:val="0"/>
          <w:numId w:val="2"/>
        </w:numPr>
        <w:rPr>
          <w:rFonts w:cs="Times New Roman"/>
          <w:sz w:val="28"/>
          <w:szCs w:val="28"/>
        </w:rPr>
      </w:pPr>
      <w:r w:rsidRPr="00764768">
        <w:rPr>
          <w:rFonts w:cs="Times New Roman"/>
          <w:sz w:val="28"/>
          <w:szCs w:val="28"/>
        </w:rPr>
        <w:t>Data Hygiene and Cleaning Techniques</w:t>
      </w:r>
      <w:r w:rsidR="00BE5337">
        <w:rPr>
          <w:rFonts w:cs="Times New Roman"/>
          <w:sz w:val="28"/>
          <w:szCs w:val="28"/>
        </w:rPr>
        <w:t>:</w:t>
      </w:r>
    </w:p>
    <w:p w14:paraId="5F0CB95C" w14:textId="7411B916" w:rsidR="00126409" w:rsidRPr="00126409" w:rsidRDefault="00126409" w:rsidP="00126409">
      <w:pPr>
        <w:pStyle w:val="Text"/>
      </w:pPr>
      <w:r w:rsidRPr="00126409">
        <w:t>The table below summarizes the key data quality issues identified during preprocessing and the actions taken to address them.</w:t>
      </w:r>
    </w:p>
    <w:tbl>
      <w:tblPr>
        <w:tblW w:w="9493" w:type="dxa"/>
        <w:tblLayout w:type="fixed"/>
        <w:tblLook w:val="04A0" w:firstRow="1" w:lastRow="0" w:firstColumn="1" w:lastColumn="0" w:noHBand="0" w:noVBand="1"/>
      </w:tblPr>
      <w:tblGrid>
        <w:gridCol w:w="1980"/>
        <w:gridCol w:w="1559"/>
        <w:gridCol w:w="1418"/>
        <w:gridCol w:w="2552"/>
        <w:gridCol w:w="1984"/>
      </w:tblGrid>
      <w:tr w:rsidR="00911E41" w:rsidRPr="00BD45F3" w14:paraId="459DE041" w14:textId="77777777" w:rsidTr="00F97051">
        <w:trPr>
          <w:trHeight w:val="340"/>
        </w:trPr>
        <w:tc>
          <w:tcPr>
            <w:tcW w:w="1980" w:type="dxa"/>
            <w:tcBorders>
              <w:top w:val="single" w:sz="4" w:space="0" w:color="auto"/>
              <w:left w:val="single" w:sz="4" w:space="0" w:color="auto"/>
              <w:bottom w:val="single" w:sz="4" w:space="0" w:color="auto"/>
              <w:right w:val="single" w:sz="4" w:space="0" w:color="auto"/>
            </w:tcBorders>
            <w:vAlign w:val="center"/>
            <w:hideMark/>
          </w:tcPr>
          <w:p w14:paraId="0F3E9F8D"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911E41">
              <w:rPr>
                <w:rFonts w:ascii="Times New Roman" w:eastAsia="Times New Roman" w:hAnsi="Times New Roman" w:cs="Times New Roman"/>
                <w:b/>
                <w:bCs/>
                <w:color w:val="000000"/>
                <w:kern w:val="0"/>
                <w:sz w:val="24"/>
                <w:szCs w:val="24"/>
                <w:lang w:eastAsia="en-IN"/>
                <w14:ligatures w14:val="none"/>
              </w:rPr>
              <w:t>Feature</w:t>
            </w:r>
          </w:p>
        </w:tc>
        <w:tc>
          <w:tcPr>
            <w:tcW w:w="1559" w:type="dxa"/>
            <w:tcBorders>
              <w:top w:val="single" w:sz="4" w:space="0" w:color="auto"/>
              <w:left w:val="nil"/>
              <w:bottom w:val="single" w:sz="4" w:space="0" w:color="auto"/>
              <w:right w:val="single" w:sz="4" w:space="0" w:color="auto"/>
            </w:tcBorders>
            <w:vAlign w:val="center"/>
            <w:hideMark/>
          </w:tcPr>
          <w:p w14:paraId="707B9F1D"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911E41">
              <w:rPr>
                <w:rFonts w:ascii="Times New Roman" w:eastAsia="Times New Roman" w:hAnsi="Times New Roman" w:cs="Times New Roman"/>
                <w:b/>
                <w:bCs/>
                <w:color w:val="000000"/>
                <w:kern w:val="0"/>
                <w:sz w:val="24"/>
                <w:szCs w:val="24"/>
                <w:lang w:eastAsia="en-IN"/>
                <w14:ligatures w14:val="none"/>
              </w:rPr>
              <w:t>Original State</w:t>
            </w:r>
          </w:p>
        </w:tc>
        <w:tc>
          <w:tcPr>
            <w:tcW w:w="1418" w:type="dxa"/>
            <w:tcBorders>
              <w:top w:val="single" w:sz="4" w:space="0" w:color="auto"/>
              <w:left w:val="nil"/>
              <w:bottom w:val="single" w:sz="4" w:space="0" w:color="auto"/>
              <w:right w:val="single" w:sz="4" w:space="0" w:color="auto"/>
            </w:tcBorders>
            <w:vAlign w:val="center"/>
            <w:hideMark/>
          </w:tcPr>
          <w:p w14:paraId="519412E5"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911E41">
              <w:rPr>
                <w:rFonts w:ascii="Times New Roman" w:eastAsia="Times New Roman" w:hAnsi="Times New Roman" w:cs="Times New Roman"/>
                <w:b/>
                <w:bCs/>
                <w:color w:val="000000"/>
                <w:kern w:val="0"/>
                <w:sz w:val="24"/>
                <w:szCs w:val="24"/>
                <w:lang w:eastAsia="en-IN"/>
                <w14:ligatures w14:val="none"/>
              </w:rPr>
              <w:t>Issues Found</w:t>
            </w:r>
          </w:p>
        </w:tc>
        <w:tc>
          <w:tcPr>
            <w:tcW w:w="2552" w:type="dxa"/>
            <w:tcBorders>
              <w:top w:val="single" w:sz="4" w:space="0" w:color="auto"/>
              <w:left w:val="nil"/>
              <w:bottom w:val="single" w:sz="4" w:space="0" w:color="auto"/>
              <w:right w:val="single" w:sz="4" w:space="0" w:color="auto"/>
            </w:tcBorders>
            <w:vAlign w:val="center"/>
            <w:hideMark/>
          </w:tcPr>
          <w:p w14:paraId="38A5C2AB"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911E41">
              <w:rPr>
                <w:rFonts w:ascii="Times New Roman" w:eastAsia="Times New Roman" w:hAnsi="Times New Roman" w:cs="Times New Roman"/>
                <w:b/>
                <w:bCs/>
                <w:color w:val="000000"/>
                <w:kern w:val="0"/>
                <w:sz w:val="24"/>
                <w:szCs w:val="24"/>
                <w:lang w:eastAsia="en-IN"/>
                <w14:ligatures w14:val="none"/>
              </w:rPr>
              <w:t>Cleaning Action</w:t>
            </w:r>
          </w:p>
        </w:tc>
        <w:tc>
          <w:tcPr>
            <w:tcW w:w="1984" w:type="dxa"/>
            <w:tcBorders>
              <w:top w:val="single" w:sz="4" w:space="0" w:color="auto"/>
              <w:left w:val="nil"/>
              <w:bottom w:val="single" w:sz="4" w:space="0" w:color="auto"/>
              <w:right w:val="single" w:sz="4" w:space="0" w:color="auto"/>
            </w:tcBorders>
            <w:vAlign w:val="center"/>
            <w:hideMark/>
          </w:tcPr>
          <w:p w14:paraId="4A29EE0A"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911E41">
              <w:rPr>
                <w:rFonts w:ascii="Times New Roman" w:eastAsia="Times New Roman" w:hAnsi="Times New Roman" w:cs="Times New Roman"/>
                <w:b/>
                <w:bCs/>
                <w:color w:val="000000"/>
                <w:kern w:val="0"/>
                <w:sz w:val="24"/>
                <w:szCs w:val="24"/>
                <w:lang w:eastAsia="en-IN"/>
                <w14:ligatures w14:val="none"/>
              </w:rPr>
              <w:t>Post-Cleaning Impact</w:t>
            </w:r>
          </w:p>
        </w:tc>
      </w:tr>
      <w:tr w:rsidR="00911E41" w:rsidRPr="00BD45F3" w14:paraId="18D3BDAA"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54B109A9"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Transaction_ID</w:t>
            </w:r>
            <w:proofErr w:type="spellEnd"/>
          </w:p>
        </w:tc>
        <w:tc>
          <w:tcPr>
            <w:tcW w:w="1559" w:type="dxa"/>
            <w:tcBorders>
              <w:top w:val="nil"/>
              <w:left w:val="nil"/>
              <w:bottom w:val="single" w:sz="4" w:space="0" w:color="auto"/>
              <w:right w:val="single" w:sz="4" w:space="0" w:color="auto"/>
            </w:tcBorders>
            <w:vAlign w:val="center"/>
            <w:hideMark/>
          </w:tcPr>
          <w:p w14:paraId="26CC6F63"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object, 1007 unique</w:t>
            </w:r>
          </w:p>
        </w:tc>
        <w:tc>
          <w:tcPr>
            <w:tcW w:w="1418" w:type="dxa"/>
            <w:tcBorders>
              <w:top w:val="nil"/>
              <w:left w:val="nil"/>
              <w:bottom w:val="single" w:sz="4" w:space="0" w:color="auto"/>
              <w:right w:val="single" w:sz="4" w:space="0" w:color="auto"/>
            </w:tcBorders>
            <w:vAlign w:val="center"/>
            <w:hideMark/>
          </w:tcPr>
          <w:p w14:paraId="0BD9FE63"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None</w:t>
            </w:r>
          </w:p>
        </w:tc>
        <w:tc>
          <w:tcPr>
            <w:tcW w:w="2552" w:type="dxa"/>
            <w:tcBorders>
              <w:top w:val="nil"/>
              <w:left w:val="nil"/>
              <w:bottom w:val="single" w:sz="4" w:space="0" w:color="auto"/>
              <w:right w:val="single" w:sz="4" w:space="0" w:color="auto"/>
            </w:tcBorders>
            <w:vAlign w:val="center"/>
            <w:hideMark/>
          </w:tcPr>
          <w:p w14:paraId="4500D223"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Kept as-is</w:t>
            </w:r>
          </w:p>
        </w:tc>
        <w:tc>
          <w:tcPr>
            <w:tcW w:w="1984" w:type="dxa"/>
            <w:tcBorders>
              <w:top w:val="nil"/>
              <w:left w:val="nil"/>
              <w:bottom w:val="single" w:sz="4" w:space="0" w:color="auto"/>
              <w:right w:val="single" w:sz="4" w:space="0" w:color="auto"/>
            </w:tcBorders>
            <w:vAlign w:val="center"/>
            <w:hideMark/>
          </w:tcPr>
          <w:p w14:paraId="4B8A6F11"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Unchanged</w:t>
            </w:r>
          </w:p>
        </w:tc>
      </w:tr>
      <w:tr w:rsidR="00911E41" w:rsidRPr="00BD45F3" w14:paraId="197AB6FF"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0E1FD81C"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911E41">
              <w:rPr>
                <w:rFonts w:ascii="Times New Roman" w:eastAsia="Times New Roman" w:hAnsi="Times New Roman" w:cs="Times New Roman"/>
                <w:b/>
                <w:bCs/>
                <w:color w:val="000000"/>
                <w:kern w:val="0"/>
                <w:sz w:val="24"/>
                <w:szCs w:val="24"/>
                <w:lang w:eastAsia="en-IN"/>
                <w14:ligatures w14:val="none"/>
              </w:rPr>
              <w:t>Date</w:t>
            </w:r>
          </w:p>
        </w:tc>
        <w:tc>
          <w:tcPr>
            <w:tcW w:w="1559" w:type="dxa"/>
            <w:tcBorders>
              <w:top w:val="nil"/>
              <w:left w:val="nil"/>
              <w:bottom w:val="single" w:sz="4" w:space="0" w:color="auto"/>
              <w:right w:val="single" w:sz="4" w:space="0" w:color="auto"/>
            </w:tcBorders>
            <w:vAlign w:val="center"/>
            <w:hideMark/>
          </w:tcPr>
          <w:p w14:paraId="76B26A3C"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object (DD-MM-YYYY)</w:t>
            </w:r>
          </w:p>
        </w:tc>
        <w:tc>
          <w:tcPr>
            <w:tcW w:w="1418" w:type="dxa"/>
            <w:tcBorders>
              <w:top w:val="nil"/>
              <w:left w:val="nil"/>
              <w:bottom w:val="single" w:sz="4" w:space="0" w:color="auto"/>
              <w:right w:val="single" w:sz="4" w:space="0" w:color="auto"/>
            </w:tcBorders>
            <w:vAlign w:val="center"/>
            <w:hideMark/>
          </w:tcPr>
          <w:p w14:paraId="35A26540"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String format</w:t>
            </w:r>
          </w:p>
        </w:tc>
        <w:tc>
          <w:tcPr>
            <w:tcW w:w="2552" w:type="dxa"/>
            <w:tcBorders>
              <w:top w:val="nil"/>
              <w:left w:val="nil"/>
              <w:bottom w:val="single" w:sz="4" w:space="0" w:color="auto"/>
              <w:right w:val="single" w:sz="4" w:space="0" w:color="auto"/>
            </w:tcBorders>
            <w:vAlign w:val="center"/>
            <w:hideMark/>
          </w:tcPr>
          <w:p w14:paraId="32131FFE"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proofErr w:type="spellStart"/>
            <w:r w:rsidRPr="00911E41">
              <w:rPr>
                <w:rFonts w:ascii="Times New Roman" w:eastAsia="Times New Roman" w:hAnsi="Times New Roman" w:cs="Times New Roman"/>
                <w:color w:val="000000"/>
                <w:kern w:val="0"/>
                <w:sz w:val="24"/>
                <w:szCs w:val="24"/>
                <w:lang w:eastAsia="en-IN"/>
                <w14:ligatures w14:val="none"/>
              </w:rPr>
              <w:t>pd.to_datetime</w:t>
            </w:r>
            <w:proofErr w:type="spellEnd"/>
            <w:r w:rsidRPr="00911E41">
              <w:rPr>
                <w:rFonts w:ascii="Times New Roman" w:eastAsia="Times New Roman" w:hAnsi="Times New Roman" w:cs="Times New Roman"/>
                <w:color w:val="000000"/>
                <w:kern w:val="0"/>
                <w:sz w:val="24"/>
                <w:szCs w:val="24"/>
                <w:lang w:eastAsia="en-IN"/>
                <w14:ligatures w14:val="none"/>
              </w:rPr>
              <w:t>(</w:t>
            </w:r>
            <w:proofErr w:type="spellStart"/>
            <w:r w:rsidRPr="00911E41">
              <w:rPr>
                <w:rFonts w:ascii="Times New Roman" w:eastAsia="Times New Roman" w:hAnsi="Times New Roman" w:cs="Times New Roman"/>
                <w:color w:val="000000"/>
                <w:kern w:val="0"/>
                <w:sz w:val="24"/>
                <w:szCs w:val="24"/>
                <w:lang w:eastAsia="en-IN"/>
                <w14:ligatures w14:val="none"/>
              </w:rPr>
              <w:t>dayfirst</w:t>
            </w:r>
            <w:proofErr w:type="spellEnd"/>
            <w:r w:rsidRPr="00911E41">
              <w:rPr>
                <w:rFonts w:ascii="Times New Roman" w:eastAsia="Times New Roman" w:hAnsi="Times New Roman" w:cs="Times New Roman"/>
                <w:color w:val="000000"/>
                <w:kern w:val="0"/>
                <w:sz w:val="24"/>
                <w:szCs w:val="24"/>
                <w:lang w:eastAsia="en-IN"/>
                <w14:ligatures w14:val="none"/>
              </w:rPr>
              <w:t>=True)</w:t>
            </w:r>
          </w:p>
        </w:tc>
        <w:tc>
          <w:tcPr>
            <w:tcW w:w="1984" w:type="dxa"/>
            <w:tcBorders>
              <w:top w:val="nil"/>
              <w:left w:val="nil"/>
              <w:bottom w:val="single" w:sz="4" w:space="0" w:color="auto"/>
              <w:right w:val="single" w:sz="4" w:space="0" w:color="auto"/>
            </w:tcBorders>
            <w:vAlign w:val="center"/>
            <w:hideMark/>
          </w:tcPr>
          <w:p w14:paraId="22BF21A7"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datetime ready for trends</w:t>
            </w:r>
          </w:p>
        </w:tc>
      </w:tr>
      <w:tr w:rsidR="00911E41" w:rsidRPr="00BD45F3" w14:paraId="66394E54"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13CB1860"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Store_ID</w:t>
            </w:r>
            <w:proofErr w:type="spellEnd"/>
          </w:p>
        </w:tc>
        <w:tc>
          <w:tcPr>
            <w:tcW w:w="1559" w:type="dxa"/>
            <w:tcBorders>
              <w:top w:val="nil"/>
              <w:left w:val="nil"/>
              <w:bottom w:val="single" w:sz="4" w:space="0" w:color="auto"/>
              <w:right w:val="single" w:sz="4" w:space="0" w:color="auto"/>
            </w:tcBorders>
            <w:vAlign w:val="center"/>
            <w:hideMark/>
          </w:tcPr>
          <w:p w14:paraId="7172D624"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object, 10 unique</w:t>
            </w:r>
          </w:p>
        </w:tc>
        <w:tc>
          <w:tcPr>
            <w:tcW w:w="1418" w:type="dxa"/>
            <w:tcBorders>
              <w:top w:val="nil"/>
              <w:left w:val="nil"/>
              <w:bottom w:val="single" w:sz="4" w:space="0" w:color="auto"/>
              <w:right w:val="single" w:sz="4" w:space="0" w:color="auto"/>
            </w:tcBorders>
            <w:vAlign w:val="center"/>
            <w:hideMark/>
          </w:tcPr>
          <w:p w14:paraId="5D8E16EA"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None</w:t>
            </w:r>
          </w:p>
        </w:tc>
        <w:tc>
          <w:tcPr>
            <w:tcW w:w="2552" w:type="dxa"/>
            <w:tcBorders>
              <w:top w:val="nil"/>
              <w:left w:val="nil"/>
              <w:bottom w:val="single" w:sz="4" w:space="0" w:color="auto"/>
              <w:right w:val="single" w:sz="4" w:space="0" w:color="auto"/>
            </w:tcBorders>
            <w:vAlign w:val="center"/>
            <w:hideMark/>
          </w:tcPr>
          <w:p w14:paraId="2F120851"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Kept as-is</w:t>
            </w:r>
          </w:p>
        </w:tc>
        <w:tc>
          <w:tcPr>
            <w:tcW w:w="1984" w:type="dxa"/>
            <w:tcBorders>
              <w:top w:val="nil"/>
              <w:left w:val="nil"/>
              <w:bottom w:val="single" w:sz="4" w:space="0" w:color="auto"/>
              <w:right w:val="single" w:sz="4" w:space="0" w:color="auto"/>
            </w:tcBorders>
            <w:vAlign w:val="center"/>
            <w:hideMark/>
          </w:tcPr>
          <w:p w14:paraId="61D5E82F"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Unchanged</w:t>
            </w:r>
          </w:p>
        </w:tc>
      </w:tr>
      <w:tr w:rsidR="00911E41" w:rsidRPr="00BD45F3" w14:paraId="5B11C848"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3F7EE500"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Pack_Size</w:t>
            </w:r>
            <w:proofErr w:type="spellEnd"/>
          </w:p>
        </w:tc>
        <w:tc>
          <w:tcPr>
            <w:tcW w:w="1559" w:type="dxa"/>
            <w:tcBorders>
              <w:top w:val="nil"/>
              <w:left w:val="nil"/>
              <w:bottom w:val="single" w:sz="4" w:space="0" w:color="auto"/>
              <w:right w:val="single" w:sz="4" w:space="0" w:color="auto"/>
            </w:tcBorders>
            <w:vAlign w:val="center"/>
            <w:hideMark/>
          </w:tcPr>
          <w:p w14:paraId="02240DD7"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N/A</w:t>
            </w:r>
          </w:p>
        </w:tc>
        <w:tc>
          <w:tcPr>
            <w:tcW w:w="1418" w:type="dxa"/>
            <w:tcBorders>
              <w:top w:val="nil"/>
              <w:left w:val="nil"/>
              <w:bottom w:val="single" w:sz="4" w:space="0" w:color="auto"/>
              <w:right w:val="single" w:sz="4" w:space="0" w:color="auto"/>
            </w:tcBorders>
            <w:vAlign w:val="center"/>
            <w:hideMark/>
          </w:tcPr>
          <w:p w14:paraId="3C33A69B"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Derived need</w:t>
            </w:r>
          </w:p>
        </w:tc>
        <w:tc>
          <w:tcPr>
            <w:tcW w:w="2552" w:type="dxa"/>
            <w:tcBorders>
              <w:top w:val="nil"/>
              <w:left w:val="nil"/>
              <w:bottom w:val="single" w:sz="4" w:space="0" w:color="auto"/>
              <w:right w:val="single" w:sz="4" w:space="0" w:color="auto"/>
            </w:tcBorders>
            <w:vAlign w:val="center"/>
            <w:hideMark/>
          </w:tcPr>
          <w:p w14:paraId="248B5650"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 xml:space="preserve">Created from </w:t>
            </w:r>
            <w:proofErr w:type="spellStart"/>
            <w:r w:rsidRPr="00911E41">
              <w:rPr>
                <w:rFonts w:ascii="Times New Roman" w:eastAsia="Times New Roman" w:hAnsi="Times New Roman" w:cs="Times New Roman"/>
                <w:color w:val="000000"/>
                <w:kern w:val="0"/>
                <w:sz w:val="24"/>
                <w:szCs w:val="24"/>
                <w:lang w:eastAsia="en-IN"/>
                <w14:ligatures w14:val="none"/>
              </w:rPr>
              <w:t>Product_Name</w:t>
            </w:r>
            <w:proofErr w:type="spellEnd"/>
            <w:r w:rsidRPr="00911E41">
              <w:rPr>
                <w:rFonts w:ascii="Times New Roman" w:eastAsia="Times New Roman" w:hAnsi="Times New Roman" w:cs="Times New Roman"/>
                <w:color w:val="000000"/>
                <w:kern w:val="0"/>
                <w:sz w:val="24"/>
                <w:szCs w:val="24"/>
                <w:lang w:eastAsia="en-IN"/>
                <w14:ligatures w14:val="none"/>
              </w:rPr>
              <w:t xml:space="preserve"> + </w:t>
            </w:r>
            <w:proofErr w:type="spellStart"/>
            <w:r w:rsidRPr="00911E41">
              <w:rPr>
                <w:rFonts w:ascii="Times New Roman" w:eastAsia="Times New Roman" w:hAnsi="Times New Roman" w:cs="Times New Roman"/>
                <w:color w:val="000000"/>
                <w:kern w:val="0"/>
                <w:sz w:val="24"/>
                <w:szCs w:val="24"/>
                <w:lang w:eastAsia="en-IN"/>
                <w14:ligatures w14:val="none"/>
              </w:rPr>
              <w:t>Price_Per_Unit</w:t>
            </w:r>
            <w:proofErr w:type="spellEnd"/>
            <w:r w:rsidRPr="00911E41">
              <w:rPr>
                <w:rFonts w:ascii="Times New Roman" w:eastAsia="Times New Roman" w:hAnsi="Times New Roman" w:cs="Times New Roman"/>
                <w:color w:val="000000"/>
                <w:kern w:val="0"/>
                <w:sz w:val="24"/>
                <w:szCs w:val="24"/>
                <w:lang w:eastAsia="en-IN"/>
                <w14:ligatures w14:val="none"/>
              </w:rPr>
              <w:t xml:space="preserve"> (low-price â†’ small pack)</w:t>
            </w:r>
          </w:p>
        </w:tc>
        <w:tc>
          <w:tcPr>
            <w:tcW w:w="1984" w:type="dxa"/>
            <w:tcBorders>
              <w:top w:val="nil"/>
              <w:left w:val="nil"/>
              <w:bottom w:val="single" w:sz="4" w:space="0" w:color="auto"/>
              <w:right w:val="single" w:sz="4" w:space="0" w:color="auto"/>
            </w:tcBorders>
            <w:vAlign w:val="center"/>
            <w:hideMark/>
          </w:tcPr>
          <w:p w14:paraId="107B08EB"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New feature for analysis</w:t>
            </w:r>
          </w:p>
        </w:tc>
      </w:tr>
      <w:tr w:rsidR="00911E41" w:rsidRPr="00BD45F3" w14:paraId="383019A9"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543D52BD"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Product_Name</w:t>
            </w:r>
            <w:proofErr w:type="spellEnd"/>
          </w:p>
        </w:tc>
        <w:tc>
          <w:tcPr>
            <w:tcW w:w="1559" w:type="dxa"/>
            <w:tcBorders>
              <w:top w:val="nil"/>
              <w:left w:val="nil"/>
              <w:bottom w:val="single" w:sz="4" w:space="0" w:color="auto"/>
              <w:right w:val="single" w:sz="4" w:space="0" w:color="auto"/>
            </w:tcBorders>
            <w:vAlign w:val="center"/>
            <w:hideMark/>
          </w:tcPr>
          <w:p w14:paraId="4F9BFBAB"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object, 11 unique</w:t>
            </w:r>
          </w:p>
        </w:tc>
        <w:tc>
          <w:tcPr>
            <w:tcW w:w="1418" w:type="dxa"/>
            <w:tcBorders>
              <w:top w:val="nil"/>
              <w:left w:val="nil"/>
              <w:bottom w:val="single" w:sz="4" w:space="0" w:color="auto"/>
              <w:right w:val="single" w:sz="4" w:space="0" w:color="auto"/>
            </w:tcBorders>
            <w:vAlign w:val="center"/>
            <w:hideMark/>
          </w:tcPr>
          <w:p w14:paraId="01483E45" w14:textId="77777777" w:rsidR="00F9705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 xml:space="preserve">Typos </w:t>
            </w:r>
          </w:p>
          <w:p w14:paraId="2E12B540" w14:textId="301A7005"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(&lt;5 occurrences: "</w:t>
            </w:r>
            <w:proofErr w:type="spellStart"/>
            <w:r w:rsidRPr="00911E41">
              <w:rPr>
                <w:rFonts w:ascii="Times New Roman" w:eastAsia="Times New Roman" w:hAnsi="Times New Roman" w:cs="Times New Roman"/>
                <w:color w:val="000000"/>
                <w:kern w:val="0"/>
                <w:sz w:val="24"/>
                <w:szCs w:val="24"/>
                <w:lang w:eastAsia="en-IN"/>
                <w14:ligatures w14:val="none"/>
              </w:rPr>
              <w:t>Priivatee</w:t>
            </w:r>
            <w:proofErr w:type="spellEnd"/>
            <w:r w:rsidRPr="00911E41">
              <w:rPr>
                <w:rFonts w:ascii="Times New Roman" w:eastAsia="Times New Roman" w:hAnsi="Times New Roman" w:cs="Times New Roman"/>
                <w:color w:val="000000"/>
                <w:kern w:val="0"/>
                <w:sz w:val="24"/>
                <w:szCs w:val="24"/>
                <w:lang w:eastAsia="en-IN"/>
                <w14:ligatures w14:val="none"/>
              </w:rPr>
              <w:t xml:space="preserve"> </w:t>
            </w:r>
            <w:proofErr w:type="spellStart"/>
            <w:r w:rsidRPr="00911E41">
              <w:rPr>
                <w:rFonts w:ascii="Times New Roman" w:eastAsia="Times New Roman" w:hAnsi="Times New Roman" w:cs="Times New Roman"/>
                <w:color w:val="000000"/>
                <w:kern w:val="0"/>
                <w:sz w:val="24"/>
                <w:szCs w:val="24"/>
                <w:lang w:eastAsia="en-IN"/>
                <w14:ligatures w14:val="none"/>
              </w:rPr>
              <w:t>Labeel</w:t>
            </w:r>
            <w:proofErr w:type="spellEnd"/>
            <w:r w:rsidRPr="00911E41">
              <w:rPr>
                <w:rFonts w:ascii="Times New Roman" w:eastAsia="Times New Roman" w:hAnsi="Times New Roman" w:cs="Times New Roman"/>
                <w:color w:val="000000"/>
                <w:kern w:val="0"/>
                <w:sz w:val="24"/>
                <w:szCs w:val="24"/>
                <w:lang w:eastAsia="en-IN"/>
                <w14:ligatures w14:val="none"/>
              </w:rPr>
              <w:t>")</w:t>
            </w:r>
          </w:p>
        </w:tc>
        <w:tc>
          <w:tcPr>
            <w:tcW w:w="2552" w:type="dxa"/>
            <w:tcBorders>
              <w:top w:val="nil"/>
              <w:left w:val="nil"/>
              <w:bottom w:val="single" w:sz="4" w:space="0" w:color="auto"/>
              <w:right w:val="single" w:sz="4" w:space="0" w:color="auto"/>
            </w:tcBorders>
            <w:vAlign w:val="center"/>
            <w:hideMark/>
          </w:tcPr>
          <w:p w14:paraId="1EC021D5"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Replace rare variants with majority matches</w:t>
            </w:r>
          </w:p>
        </w:tc>
        <w:tc>
          <w:tcPr>
            <w:tcW w:w="1984" w:type="dxa"/>
            <w:tcBorders>
              <w:top w:val="nil"/>
              <w:left w:val="nil"/>
              <w:bottom w:val="single" w:sz="4" w:space="0" w:color="auto"/>
              <w:right w:val="single" w:sz="4" w:space="0" w:color="auto"/>
            </w:tcBorders>
            <w:vAlign w:val="center"/>
            <w:hideMark/>
          </w:tcPr>
          <w:p w14:paraId="4BDEAA17"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~5-6 clean categories</w:t>
            </w:r>
          </w:p>
        </w:tc>
      </w:tr>
      <w:tr w:rsidR="00911E41" w:rsidRPr="00BD45F3" w14:paraId="7B6DE2C2"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2855320D"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Units_Sold</w:t>
            </w:r>
            <w:proofErr w:type="spellEnd"/>
          </w:p>
        </w:tc>
        <w:tc>
          <w:tcPr>
            <w:tcW w:w="1559" w:type="dxa"/>
            <w:tcBorders>
              <w:top w:val="nil"/>
              <w:left w:val="nil"/>
              <w:bottom w:val="single" w:sz="4" w:space="0" w:color="auto"/>
              <w:right w:val="single" w:sz="4" w:space="0" w:color="auto"/>
            </w:tcBorders>
            <w:vAlign w:val="center"/>
            <w:hideMark/>
          </w:tcPr>
          <w:p w14:paraId="676DE567"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int64</w:t>
            </w:r>
          </w:p>
        </w:tc>
        <w:tc>
          <w:tcPr>
            <w:tcW w:w="1418" w:type="dxa"/>
            <w:tcBorders>
              <w:top w:val="nil"/>
              <w:left w:val="nil"/>
              <w:bottom w:val="single" w:sz="4" w:space="0" w:color="auto"/>
              <w:right w:val="single" w:sz="4" w:space="0" w:color="auto"/>
            </w:tcBorders>
            <w:vAlign w:val="center"/>
            <w:hideMark/>
          </w:tcPr>
          <w:p w14:paraId="7E068199"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Outliers (max 5000)</w:t>
            </w:r>
          </w:p>
        </w:tc>
        <w:tc>
          <w:tcPr>
            <w:tcW w:w="2552" w:type="dxa"/>
            <w:tcBorders>
              <w:top w:val="nil"/>
              <w:left w:val="nil"/>
              <w:bottom w:val="single" w:sz="4" w:space="0" w:color="auto"/>
              <w:right w:val="single" w:sz="4" w:space="0" w:color="auto"/>
            </w:tcBorders>
            <w:vAlign w:val="center"/>
            <w:hideMark/>
          </w:tcPr>
          <w:p w14:paraId="5AA6BAF9"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Kept as-is</w:t>
            </w:r>
          </w:p>
        </w:tc>
        <w:tc>
          <w:tcPr>
            <w:tcW w:w="1984" w:type="dxa"/>
            <w:tcBorders>
              <w:top w:val="nil"/>
              <w:left w:val="nil"/>
              <w:bottom w:val="single" w:sz="4" w:space="0" w:color="auto"/>
              <w:right w:val="single" w:sz="4" w:space="0" w:color="auto"/>
            </w:tcBorders>
            <w:vAlign w:val="center"/>
            <w:hideMark/>
          </w:tcPr>
          <w:p w14:paraId="495FCDFB"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Flagged for EDA</w:t>
            </w:r>
          </w:p>
        </w:tc>
      </w:tr>
      <w:tr w:rsidR="00911E41" w:rsidRPr="00BD45F3" w14:paraId="74FD34BB"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41A11EBE"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Price_Per_Unit</w:t>
            </w:r>
            <w:proofErr w:type="spellEnd"/>
          </w:p>
        </w:tc>
        <w:tc>
          <w:tcPr>
            <w:tcW w:w="1559" w:type="dxa"/>
            <w:tcBorders>
              <w:top w:val="nil"/>
              <w:left w:val="nil"/>
              <w:bottom w:val="single" w:sz="4" w:space="0" w:color="auto"/>
              <w:right w:val="single" w:sz="4" w:space="0" w:color="auto"/>
            </w:tcBorders>
            <w:vAlign w:val="center"/>
            <w:hideMark/>
          </w:tcPr>
          <w:p w14:paraId="5D253903"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float64</w:t>
            </w:r>
          </w:p>
        </w:tc>
        <w:tc>
          <w:tcPr>
            <w:tcW w:w="1418" w:type="dxa"/>
            <w:tcBorders>
              <w:top w:val="nil"/>
              <w:left w:val="nil"/>
              <w:bottom w:val="single" w:sz="4" w:space="0" w:color="auto"/>
              <w:right w:val="single" w:sz="4" w:space="0" w:color="auto"/>
            </w:tcBorders>
            <w:vAlign w:val="center"/>
            <w:hideMark/>
          </w:tcPr>
          <w:p w14:paraId="780907B2"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Anomalies</w:t>
            </w:r>
          </w:p>
        </w:tc>
        <w:tc>
          <w:tcPr>
            <w:tcW w:w="2552" w:type="dxa"/>
            <w:tcBorders>
              <w:top w:val="nil"/>
              <w:left w:val="nil"/>
              <w:bottom w:val="single" w:sz="4" w:space="0" w:color="auto"/>
              <w:right w:val="single" w:sz="4" w:space="0" w:color="auto"/>
            </w:tcBorders>
            <w:vAlign w:val="center"/>
            <w:hideMark/>
          </w:tcPr>
          <w:p w14:paraId="0D792F2E"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proofErr w:type="spellStart"/>
            <w:r w:rsidRPr="00911E41">
              <w:rPr>
                <w:rFonts w:ascii="Times New Roman" w:eastAsia="Times New Roman" w:hAnsi="Times New Roman" w:cs="Times New Roman"/>
                <w:color w:val="000000"/>
                <w:kern w:val="0"/>
                <w:sz w:val="24"/>
                <w:szCs w:val="24"/>
                <w:lang w:eastAsia="en-IN"/>
                <w14:ligatures w14:val="none"/>
              </w:rPr>
              <w:t>Product_Name</w:t>
            </w:r>
            <w:proofErr w:type="spellEnd"/>
            <w:r w:rsidRPr="00911E41">
              <w:rPr>
                <w:rFonts w:ascii="Times New Roman" w:eastAsia="Times New Roman" w:hAnsi="Times New Roman" w:cs="Times New Roman"/>
                <w:color w:val="000000"/>
                <w:kern w:val="0"/>
                <w:sz w:val="24"/>
                <w:szCs w:val="24"/>
                <w:lang w:eastAsia="en-IN"/>
                <w14:ligatures w14:val="none"/>
              </w:rPr>
              <w:t xml:space="preserve"> median imputation</w:t>
            </w:r>
          </w:p>
        </w:tc>
        <w:tc>
          <w:tcPr>
            <w:tcW w:w="1984" w:type="dxa"/>
            <w:tcBorders>
              <w:top w:val="nil"/>
              <w:left w:val="nil"/>
              <w:bottom w:val="single" w:sz="4" w:space="0" w:color="auto"/>
              <w:right w:val="single" w:sz="4" w:space="0" w:color="auto"/>
            </w:tcBorders>
            <w:vAlign w:val="center"/>
            <w:hideMark/>
          </w:tcPr>
          <w:p w14:paraId="7D13A065"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Consistent pricing</w:t>
            </w:r>
          </w:p>
        </w:tc>
      </w:tr>
      <w:tr w:rsidR="00911E41" w:rsidRPr="00BD45F3" w14:paraId="54FD2099"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30DCD575"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Consumer_Age</w:t>
            </w:r>
            <w:proofErr w:type="spellEnd"/>
          </w:p>
        </w:tc>
        <w:tc>
          <w:tcPr>
            <w:tcW w:w="1559" w:type="dxa"/>
            <w:tcBorders>
              <w:top w:val="nil"/>
              <w:left w:val="nil"/>
              <w:bottom w:val="single" w:sz="4" w:space="0" w:color="auto"/>
              <w:right w:val="single" w:sz="4" w:space="0" w:color="auto"/>
            </w:tcBorders>
            <w:vAlign w:val="center"/>
            <w:hideMark/>
          </w:tcPr>
          <w:p w14:paraId="22F5B628"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float64, 21 nulls</w:t>
            </w:r>
          </w:p>
        </w:tc>
        <w:tc>
          <w:tcPr>
            <w:tcW w:w="1418" w:type="dxa"/>
            <w:tcBorders>
              <w:top w:val="nil"/>
              <w:left w:val="nil"/>
              <w:bottom w:val="single" w:sz="4" w:space="0" w:color="auto"/>
              <w:right w:val="single" w:sz="4" w:space="0" w:color="auto"/>
            </w:tcBorders>
            <w:vAlign w:val="center"/>
            <w:hideMark/>
          </w:tcPr>
          <w:p w14:paraId="78808A66" w14:textId="77777777" w:rsidR="00F9705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 xml:space="preserve">Extremes </w:t>
            </w:r>
          </w:p>
          <w:p w14:paraId="4759EF67" w14:textId="4B89975C"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(-5, 999)</w:t>
            </w:r>
          </w:p>
        </w:tc>
        <w:tc>
          <w:tcPr>
            <w:tcW w:w="2552" w:type="dxa"/>
            <w:tcBorders>
              <w:top w:val="nil"/>
              <w:left w:val="nil"/>
              <w:bottom w:val="single" w:sz="4" w:space="0" w:color="auto"/>
              <w:right w:val="single" w:sz="4" w:space="0" w:color="auto"/>
            </w:tcBorders>
            <w:vAlign w:val="center"/>
            <w:hideMark/>
          </w:tcPr>
          <w:p w14:paraId="60421836"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Kept as-is</w:t>
            </w:r>
          </w:p>
        </w:tc>
        <w:tc>
          <w:tcPr>
            <w:tcW w:w="1984" w:type="dxa"/>
            <w:tcBorders>
              <w:top w:val="nil"/>
              <w:left w:val="nil"/>
              <w:bottom w:val="single" w:sz="4" w:space="0" w:color="auto"/>
              <w:right w:val="single" w:sz="4" w:space="0" w:color="auto"/>
            </w:tcBorders>
            <w:vAlign w:val="center"/>
            <w:hideMark/>
          </w:tcPr>
          <w:p w14:paraId="62A7A8A1"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Flagged outliers</w:t>
            </w:r>
          </w:p>
        </w:tc>
      </w:tr>
      <w:tr w:rsidR="00911E41" w:rsidRPr="00BD45F3" w14:paraId="6CCFC0D9"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0DD86DF1"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proofErr w:type="spellStart"/>
            <w:r w:rsidRPr="00911E41">
              <w:rPr>
                <w:rFonts w:ascii="Times New Roman" w:eastAsia="Times New Roman" w:hAnsi="Times New Roman" w:cs="Times New Roman"/>
                <w:b/>
                <w:bCs/>
                <w:color w:val="000000"/>
                <w:kern w:val="0"/>
                <w:sz w:val="24"/>
                <w:szCs w:val="24"/>
                <w:lang w:eastAsia="en-IN"/>
                <w14:ligatures w14:val="none"/>
              </w:rPr>
              <w:t>Loyalty_Score</w:t>
            </w:r>
            <w:proofErr w:type="spellEnd"/>
          </w:p>
        </w:tc>
        <w:tc>
          <w:tcPr>
            <w:tcW w:w="1559" w:type="dxa"/>
            <w:tcBorders>
              <w:top w:val="nil"/>
              <w:left w:val="nil"/>
              <w:bottom w:val="single" w:sz="4" w:space="0" w:color="auto"/>
              <w:right w:val="single" w:sz="4" w:space="0" w:color="auto"/>
            </w:tcBorders>
            <w:vAlign w:val="center"/>
            <w:hideMark/>
          </w:tcPr>
          <w:p w14:paraId="42FE80A8"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int64</w:t>
            </w:r>
          </w:p>
        </w:tc>
        <w:tc>
          <w:tcPr>
            <w:tcW w:w="1418" w:type="dxa"/>
            <w:tcBorders>
              <w:top w:val="nil"/>
              <w:left w:val="nil"/>
              <w:bottom w:val="single" w:sz="4" w:space="0" w:color="auto"/>
              <w:right w:val="single" w:sz="4" w:space="0" w:color="auto"/>
            </w:tcBorders>
            <w:vAlign w:val="center"/>
            <w:hideMark/>
          </w:tcPr>
          <w:p w14:paraId="389A7929"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None</w:t>
            </w:r>
          </w:p>
        </w:tc>
        <w:tc>
          <w:tcPr>
            <w:tcW w:w="2552" w:type="dxa"/>
            <w:tcBorders>
              <w:top w:val="nil"/>
              <w:left w:val="nil"/>
              <w:bottom w:val="single" w:sz="4" w:space="0" w:color="auto"/>
              <w:right w:val="single" w:sz="4" w:space="0" w:color="auto"/>
            </w:tcBorders>
            <w:vAlign w:val="center"/>
            <w:hideMark/>
          </w:tcPr>
          <w:p w14:paraId="1926E25A"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Kept as-is</w:t>
            </w:r>
          </w:p>
        </w:tc>
        <w:tc>
          <w:tcPr>
            <w:tcW w:w="1984" w:type="dxa"/>
            <w:tcBorders>
              <w:top w:val="nil"/>
              <w:left w:val="nil"/>
              <w:bottom w:val="single" w:sz="4" w:space="0" w:color="auto"/>
              <w:right w:val="single" w:sz="4" w:space="0" w:color="auto"/>
            </w:tcBorders>
            <w:vAlign w:val="center"/>
            <w:hideMark/>
          </w:tcPr>
          <w:p w14:paraId="03C662FA"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911E41">
              <w:rPr>
                <w:rFonts w:ascii="Times New Roman" w:eastAsia="Times New Roman" w:hAnsi="Times New Roman" w:cs="Times New Roman"/>
                <w:color w:val="000000"/>
                <w:kern w:val="0"/>
                <w:sz w:val="24"/>
                <w:szCs w:val="24"/>
                <w:lang w:eastAsia="en-IN"/>
                <w14:ligatures w14:val="none"/>
              </w:rPr>
              <w:t>Unchanged</w:t>
            </w:r>
          </w:p>
        </w:tc>
      </w:tr>
      <w:tr w:rsidR="00911E41" w:rsidRPr="00BD45F3" w14:paraId="0CA8BCC5" w14:textId="77777777" w:rsidTr="00F97051">
        <w:trPr>
          <w:trHeight w:val="340"/>
        </w:trPr>
        <w:tc>
          <w:tcPr>
            <w:tcW w:w="1980" w:type="dxa"/>
            <w:tcBorders>
              <w:top w:val="nil"/>
              <w:left w:val="single" w:sz="4" w:space="0" w:color="auto"/>
              <w:bottom w:val="single" w:sz="4" w:space="0" w:color="auto"/>
              <w:right w:val="single" w:sz="4" w:space="0" w:color="auto"/>
            </w:tcBorders>
            <w:vAlign w:val="center"/>
            <w:hideMark/>
          </w:tcPr>
          <w:p w14:paraId="79262F3A" w14:textId="77777777" w:rsidR="00911E41" w:rsidRPr="00911E41" w:rsidRDefault="00911E41" w:rsidP="00911E41">
            <w:pPr>
              <w:spacing w:after="0" w:line="240" w:lineRule="auto"/>
              <w:jc w:val="center"/>
              <w:rPr>
                <w:rFonts w:ascii="Times New Roman" w:eastAsia="Times New Roman" w:hAnsi="Times New Roman" w:cs="Times New Roman"/>
                <w:b/>
                <w:bCs/>
                <w:color w:val="000000"/>
                <w:kern w:val="0"/>
                <w:lang w:eastAsia="en-IN"/>
                <w14:ligatures w14:val="none"/>
              </w:rPr>
            </w:pPr>
            <w:proofErr w:type="spellStart"/>
            <w:r w:rsidRPr="00911E41">
              <w:rPr>
                <w:rFonts w:ascii="Times New Roman" w:eastAsia="Times New Roman" w:hAnsi="Times New Roman" w:cs="Times New Roman"/>
                <w:b/>
                <w:bCs/>
                <w:color w:val="000000"/>
                <w:kern w:val="0"/>
                <w:lang w:eastAsia="en-IN"/>
                <w14:ligatures w14:val="none"/>
              </w:rPr>
              <w:lastRenderedPageBreak/>
              <w:t>Promo_Type</w:t>
            </w:r>
            <w:proofErr w:type="spellEnd"/>
          </w:p>
        </w:tc>
        <w:tc>
          <w:tcPr>
            <w:tcW w:w="1559" w:type="dxa"/>
            <w:tcBorders>
              <w:top w:val="nil"/>
              <w:left w:val="nil"/>
              <w:bottom w:val="single" w:sz="4" w:space="0" w:color="auto"/>
              <w:right w:val="single" w:sz="4" w:space="0" w:color="auto"/>
            </w:tcBorders>
            <w:vAlign w:val="center"/>
            <w:hideMark/>
          </w:tcPr>
          <w:p w14:paraId="48EEC193"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lang w:eastAsia="en-IN"/>
                <w14:ligatures w14:val="none"/>
              </w:rPr>
            </w:pPr>
            <w:r w:rsidRPr="00911E41">
              <w:rPr>
                <w:rFonts w:ascii="Times New Roman" w:eastAsia="Times New Roman" w:hAnsi="Times New Roman" w:cs="Times New Roman"/>
                <w:color w:val="000000"/>
                <w:kern w:val="0"/>
                <w:lang w:eastAsia="en-IN"/>
                <w14:ligatures w14:val="none"/>
              </w:rPr>
              <w:t>object, 200 nulls</w:t>
            </w:r>
          </w:p>
        </w:tc>
        <w:tc>
          <w:tcPr>
            <w:tcW w:w="1418" w:type="dxa"/>
            <w:tcBorders>
              <w:top w:val="nil"/>
              <w:left w:val="nil"/>
              <w:bottom w:val="single" w:sz="4" w:space="0" w:color="auto"/>
              <w:right w:val="single" w:sz="4" w:space="0" w:color="auto"/>
            </w:tcBorders>
            <w:vAlign w:val="center"/>
            <w:hideMark/>
          </w:tcPr>
          <w:p w14:paraId="0A8507D6"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lang w:eastAsia="en-IN"/>
                <w14:ligatures w14:val="none"/>
              </w:rPr>
            </w:pPr>
            <w:r w:rsidRPr="00911E41">
              <w:rPr>
                <w:rFonts w:ascii="Times New Roman" w:eastAsia="Times New Roman" w:hAnsi="Times New Roman" w:cs="Times New Roman"/>
                <w:color w:val="000000"/>
                <w:kern w:val="0"/>
                <w:lang w:eastAsia="en-IN"/>
                <w14:ligatures w14:val="none"/>
              </w:rPr>
              <w:t>20% missing</w:t>
            </w:r>
          </w:p>
        </w:tc>
        <w:tc>
          <w:tcPr>
            <w:tcW w:w="2552" w:type="dxa"/>
            <w:tcBorders>
              <w:top w:val="nil"/>
              <w:left w:val="nil"/>
              <w:bottom w:val="single" w:sz="4" w:space="0" w:color="auto"/>
              <w:right w:val="single" w:sz="4" w:space="0" w:color="auto"/>
            </w:tcBorders>
            <w:vAlign w:val="center"/>
            <w:hideMark/>
          </w:tcPr>
          <w:p w14:paraId="2C8A51A5"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lang w:eastAsia="en-IN"/>
                <w14:ligatures w14:val="none"/>
              </w:rPr>
            </w:pPr>
            <w:r w:rsidRPr="00911E41">
              <w:rPr>
                <w:rFonts w:ascii="Times New Roman" w:eastAsia="Times New Roman" w:hAnsi="Times New Roman" w:cs="Times New Roman"/>
                <w:color w:val="000000"/>
                <w:kern w:val="0"/>
                <w:lang w:eastAsia="en-IN"/>
                <w14:ligatures w14:val="none"/>
              </w:rPr>
              <w:t>Kept as-is (implicit None)</w:t>
            </w:r>
          </w:p>
        </w:tc>
        <w:tc>
          <w:tcPr>
            <w:tcW w:w="1984" w:type="dxa"/>
            <w:tcBorders>
              <w:top w:val="nil"/>
              <w:left w:val="nil"/>
              <w:bottom w:val="single" w:sz="4" w:space="0" w:color="auto"/>
              <w:right w:val="single" w:sz="4" w:space="0" w:color="auto"/>
            </w:tcBorders>
            <w:vAlign w:val="center"/>
            <w:hideMark/>
          </w:tcPr>
          <w:p w14:paraId="516AE38F" w14:textId="77777777" w:rsidR="00911E41" w:rsidRPr="00911E41" w:rsidRDefault="00911E41" w:rsidP="00911E41">
            <w:pPr>
              <w:spacing w:after="0" w:line="240" w:lineRule="auto"/>
              <w:jc w:val="center"/>
              <w:rPr>
                <w:rFonts w:ascii="Times New Roman" w:eastAsia="Times New Roman" w:hAnsi="Times New Roman" w:cs="Times New Roman"/>
                <w:color w:val="000000"/>
                <w:kern w:val="0"/>
                <w:lang w:eastAsia="en-IN"/>
                <w14:ligatures w14:val="none"/>
              </w:rPr>
            </w:pPr>
            <w:r w:rsidRPr="00911E41">
              <w:rPr>
                <w:rFonts w:ascii="Times New Roman" w:eastAsia="Times New Roman" w:hAnsi="Times New Roman" w:cs="Times New Roman"/>
                <w:color w:val="000000"/>
                <w:kern w:val="0"/>
                <w:lang w:eastAsia="en-IN"/>
                <w14:ligatures w14:val="none"/>
              </w:rPr>
              <w:t>Ready for encoding</w:t>
            </w:r>
          </w:p>
        </w:tc>
      </w:tr>
    </w:tbl>
    <w:p w14:paraId="1677347C" w14:textId="0D6ACFDF" w:rsidR="00764768" w:rsidRDefault="00126409" w:rsidP="00126409">
      <w:pPr>
        <w:pStyle w:val="Text"/>
      </w:pPr>
      <w:r w:rsidRPr="00126409">
        <w:t>Overall, these steps ensured that pricing, volume, and segmentation analyses were not skewed by data quality issues.</w:t>
      </w:r>
    </w:p>
    <w:p w14:paraId="4343C837" w14:textId="77777777" w:rsidR="00BE5337" w:rsidRPr="00764768" w:rsidRDefault="00BE5337" w:rsidP="00126409">
      <w:pPr>
        <w:pStyle w:val="Text"/>
      </w:pPr>
    </w:p>
    <w:p w14:paraId="09F4C8D8" w14:textId="6302EE00" w:rsidR="00126409" w:rsidRDefault="00126409" w:rsidP="00764768">
      <w:pPr>
        <w:pStyle w:val="Heading2"/>
        <w:numPr>
          <w:ilvl w:val="0"/>
          <w:numId w:val="2"/>
        </w:numPr>
        <w:rPr>
          <w:rFonts w:cs="Times New Roman"/>
          <w:sz w:val="28"/>
          <w:szCs w:val="28"/>
        </w:rPr>
      </w:pPr>
      <w:r>
        <w:rPr>
          <w:rFonts w:cs="Times New Roman"/>
          <w:sz w:val="28"/>
          <w:szCs w:val="28"/>
        </w:rPr>
        <w:t>Exploratory Data Analysis:</w:t>
      </w:r>
    </w:p>
    <w:p w14:paraId="0985B3C2" w14:textId="68BAF210" w:rsidR="00126409" w:rsidRDefault="00126409" w:rsidP="00126409">
      <w:pPr>
        <w:pStyle w:val="Text"/>
        <w:jc w:val="both"/>
      </w:pPr>
      <w:r>
        <w:t>After cleaning the dataset, exploratory data analysis was carried out to understand how Effervesce was performing across products, pricing levels, and consumer groups. At this stage, the focus was on identifying clear patterns in the data that could help explain the decline in volume share, rather than drawing final conclusions.</w:t>
      </w:r>
    </w:p>
    <w:p w14:paraId="6B7CBEA0" w14:textId="66E54586" w:rsidR="00126409" w:rsidRDefault="00126409" w:rsidP="00126409">
      <w:pPr>
        <w:pStyle w:val="Text"/>
        <w:jc w:val="both"/>
      </w:pPr>
      <w:r w:rsidRPr="00505EC9">
        <w:rPr>
          <w:b/>
          <w:bCs/>
        </w:rPr>
        <w:t>Analysis of sales and volume trends</w:t>
      </w:r>
      <w:r>
        <w:t xml:space="preserve"> showed that the decline in Effervesce was not uniform across the portfolio. Core and lower-priced pack sizes continued to contribute stable volumes, while higher-priced and premium packs displayed greater volatility and weaker performance. This indicated that the challenge was concentrated around premium offerings rather than a broad decline in category demand.</w:t>
      </w:r>
    </w:p>
    <w:p w14:paraId="31F59E32" w14:textId="04A90D3C" w:rsidR="00126409" w:rsidRDefault="00126409" w:rsidP="00126409">
      <w:pPr>
        <w:pStyle w:val="Text"/>
        <w:jc w:val="both"/>
      </w:pPr>
      <w:r w:rsidRPr="00505EC9">
        <w:rPr>
          <w:b/>
          <w:bCs/>
        </w:rPr>
        <w:t>Pricing analysis</w:t>
      </w:r>
      <w:r>
        <w:t xml:space="preserve"> further reinforced this observation. Once pricing anomalies were addressed during data cleaning, higher price-per-unit products showed greater sensitivity to changes in purchasing </w:t>
      </w:r>
      <w:proofErr w:type="spellStart"/>
      <w:r>
        <w:t>behavior</w:t>
      </w:r>
      <w:proofErr w:type="spellEnd"/>
      <w:r>
        <w:t xml:space="preserve"> compared to value-oriented options. This suggested increasing resistance to premium pricing and pointed toward a need to reassess how premium value is being communicated.</w:t>
      </w:r>
    </w:p>
    <w:p w14:paraId="6528BEC1" w14:textId="646D6B52" w:rsidR="00126409" w:rsidRDefault="00126409" w:rsidP="00126409">
      <w:pPr>
        <w:pStyle w:val="Text"/>
        <w:jc w:val="both"/>
      </w:pPr>
      <w:r w:rsidRPr="00505EC9">
        <w:rPr>
          <w:b/>
          <w:bCs/>
        </w:rPr>
        <w:t>Consumer-level exploration</w:t>
      </w:r>
      <w:r>
        <w:t xml:space="preserve"> revealed noticeable differences across age and loyalty segments. Younger consumers exhibited lower purchase frequency and less consistent brand loyalty, while highly loyal consumers showed early signs of diversification in brand choice rather than complete disengagement. These patterns suggested gradual churn rather than an immediate loss of the core consumer base.</w:t>
      </w:r>
    </w:p>
    <w:p w14:paraId="70D37651" w14:textId="54BB0F4A" w:rsidR="00126409" w:rsidRDefault="00126409" w:rsidP="00126409">
      <w:pPr>
        <w:pStyle w:val="Text"/>
        <w:jc w:val="both"/>
      </w:pPr>
      <w:r w:rsidRPr="00505EC9">
        <w:rPr>
          <w:b/>
          <w:bCs/>
        </w:rPr>
        <w:t>Promotional data</w:t>
      </w:r>
      <w:r>
        <w:t xml:space="preserve"> was also examined to understand the relationship between digital spend and sales outcomes. The analysis showed that increases in digital promotional activity did not consistently translate into proportional gains in volume, indicating potential inefficiencies in targeting or messaging rather than insufficient spend.</w:t>
      </w:r>
    </w:p>
    <w:p w14:paraId="54FEA401" w14:textId="7B6EFC28" w:rsidR="00126409" w:rsidRDefault="00126409" w:rsidP="00126409">
      <w:pPr>
        <w:pStyle w:val="Text"/>
        <w:jc w:val="both"/>
      </w:pPr>
      <w:r>
        <w:t xml:space="preserve">Overall, the EDA highlighted that </w:t>
      </w:r>
      <w:proofErr w:type="spellStart"/>
      <w:r>
        <w:t>Effervesce’s</w:t>
      </w:r>
      <w:proofErr w:type="spellEnd"/>
      <w:r>
        <w:t xml:space="preserve"> performance issues were concentrated around premium pricing, younger consumers, and loyalty erosion, rather than mass-market decline. These findings helped narrow the scope of subsequent segmentation and strategic analysis and informed the final recommendation.</w:t>
      </w:r>
    </w:p>
    <w:p w14:paraId="3912A322" w14:textId="77777777" w:rsidR="00541D69" w:rsidRPr="00126409" w:rsidRDefault="00541D69" w:rsidP="00126409">
      <w:pPr>
        <w:pStyle w:val="Text"/>
        <w:jc w:val="both"/>
      </w:pPr>
    </w:p>
    <w:p w14:paraId="3FBAF6C2" w14:textId="11077CFD" w:rsidR="00764768" w:rsidRDefault="00764768" w:rsidP="00764768">
      <w:pPr>
        <w:pStyle w:val="Heading2"/>
        <w:numPr>
          <w:ilvl w:val="0"/>
          <w:numId w:val="2"/>
        </w:numPr>
        <w:rPr>
          <w:rFonts w:cs="Times New Roman"/>
          <w:sz w:val="28"/>
          <w:szCs w:val="28"/>
        </w:rPr>
      </w:pPr>
      <w:r w:rsidRPr="00126409">
        <w:rPr>
          <w:rFonts w:cs="Times New Roman"/>
          <w:sz w:val="28"/>
          <w:szCs w:val="28"/>
        </w:rPr>
        <w:t>STP Analysis (Segmentation, Targeting, Positioning)</w:t>
      </w:r>
      <w:r w:rsidR="00BE5337">
        <w:rPr>
          <w:rFonts w:cs="Times New Roman"/>
          <w:sz w:val="28"/>
          <w:szCs w:val="28"/>
        </w:rPr>
        <w:t>:</w:t>
      </w:r>
    </w:p>
    <w:p w14:paraId="196D34B6" w14:textId="6843A450" w:rsidR="00BE5337" w:rsidRPr="00BE5337" w:rsidRDefault="00BE5337" w:rsidP="00BE5337">
      <w:pPr>
        <w:pStyle w:val="Text"/>
        <w:jc w:val="both"/>
      </w:pPr>
      <w:r w:rsidRPr="00BE5337">
        <w:t xml:space="preserve">Consumers were segmented using age, loyalty levels, price sensitivity, and health orientation to understand where Effervesce is losing share and to whom. The segments that matter most in this context are health-conscious premium consumers, value seekers, Gen-Z consumers with exploratory buying </w:t>
      </w:r>
      <w:proofErr w:type="spellStart"/>
      <w:r w:rsidRPr="00BE5337">
        <w:t>behavior</w:t>
      </w:r>
      <w:proofErr w:type="spellEnd"/>
      <w:r w:rsidRPr="00BE5337">
        <w:t>, and traditional Gen-X loyalists.</w:t>
      </w:r>
    </w:p>
    <w:p w14:paraId="0D8BE3BE" w14:textId="77777777" w:rsidR="00BE5337" w:rsidRPr="00BE5337" w:rsidRDefault="00BE5337" w:rsidP="00BE5337">
      <w:pPr>
        <w:pStyle w:val="Text"/>
        <w:jc w:val="both"/>
      </w:pPr>
      <w:r w:rsidRPr="00BE5337">
        <w:lastRenderedPageBreak/>
        <w:t xml:space="preserve">The data shows that </w:t>
      </w:r>
      <w:r w:rsidRPr="00BE5337">
        <w:rPr>
          <w:b/>
          <w:bCs/>
        </w:rPr>
        <w:t>Zest-Bio’s gains are concentrated in the health-conscious premium segment</w:t>
      </w:r>
      <w:r w:rsidRPr="00BE5337">
        <w:t xml:space="preserve">, rather than across the broader market. Within this group, Zest-Bio’s share increased by </w:t>
      </w:r>
      <w:r w:rsidRPr="00BE5337">
        <w:rPr>
          <w:b/>
          <w:bCs/>
        </w:rPr>
        <w:t>4.26 percentage points</w:t>
      </w:r>
      <w:r w:rsidRPr="00BE5337">
        <w:t xml:space="preserve">, with especially strong growth among </w:t>
      </w:r>
      <w:r w:rsidRPr="00BE5337">
        <w:rPr>
          <w:b/>
          <w:bCs/>
        </w:rPr>
        <w:t>Millennials (+9.95 pp)</w:t>
      </w:r>
      <w:r w:rsidRPr="00BE5337">
        <w:t xml:space="preserve"> and </w:t>
      </w:r>
      <w:r w:rsidRPr="00BE5337">
        <w:rPr>
          <w:b/>
          <w:bCs/>
        </w:rPr>
        <w:t>high-loyalty consumers (+10.46 pp)</w:t>
      </w:r>
      <w:r w:rsidRPr="00BE5337">
        <w:t>. This pattern suggests that consumers are switching for functional and health-related reasons, not because of price discounts.</w:t>
      </w:r>
    </w:p>
    <w:p w14:paraId="4AAC9749" w14:textId="77777777" w:rsidR="00BE5337" w:rsidRPr="00BE5337" w:rsidRDefault="00BE5337" w:rsidP="00BE5337">
      <w:pPr>
        <w:pStyle w:val="Text"/>
        <w:jc w:val="both"/>
      </w:pPr>
      <w:proofErr w:type="spellStart"/>
      <w:r w:rsidRPr="00BE5337">
        <w:t>Effervesce’s</w:t>
      </w:r>
      <w:proofErr w:type="spellEnd"/>
      <w:r w:rsidRPr="00BE5337">
        <w:t xml:space="preserve"> losses among </w:t>
      </w:r>
      <w:r w:rsidRPr="00BE5337">
        <w:rPr>
          <w:b/>
          <w:bCs/>
        </w:rPr>
        <w:t>value seekers and Gen-X consumers follow a different pattern</w:t>
      </w:r>
      <w:r w:rsidRPr="00BE5337">
        <w:t xml:space="preserve">. In these segments, </w:t>
      </w:r>
      <w:r w:rsidRPr="00BE5337">
        <w:rPr>
          <w:b/>
          <w:bCs/>
        </w:rPr>
        <w:t>private labels gained 3.67 percentage points</w:t>
      </w:r>
      <w:r w:rsidRPr="00BE5337">
        <w:t>, while Zest-Bio’s share remained largely unchanged. This indicates that churn here is driven by price pressure and affordability rather than competitive repositioning, pointing to issues in pack sizing and price architecture.</w:t>
      </w:r>
    </w:p>
    <w:p w14:paraId="5A34AC40" w14:textId="77777777" w:rsidR="00BE5337" w:rsidRPr="00BE5337" w:rsidRDefault="00BE5337" w:rsidP="00BE5337">
      <w:pPr>
        <w:pStyle w:val="Text"/>
        <w:jc w:val="both"/>
      </w:pPr>
      <w:r w:rsidRPr="00BE5337">
        <w:t xml:space="preserve">From a targeting perspective, </w:t>
      </w:r>
      <w:r w:rsidRPr="00BE5337">
        <w:rPr>
          <w:b/>
          <w:bCs/>
        </w:rPr>
        <w:t>health-conscious premium consumers are the most important segment to address</w:t>
      </w:r>
      <w:r w:rsidRPr="00BE5337">
        <w:t xml:space="preserve">. They combine higher loyalty with a greater willingness to pay and represent </w:t>
      </w:r>
      <w:proofErr w:type="spellStart"/>
      <w:r w:rsidRPr="00BE5337">
        <w:t>Effervesce’s</w:t>
      </w:r>
      <w:proofErr w:type="spellEnd"/>
      <w:r w:rsidRPr="00BE5337">
        <w:t xml:space="preserve"> future growth base. While losses among value-oriented consumers affect volume, they are less critical from a long-term profitability and brand-equity standpoint and can be managed through tactical pricing actions.</w:t>
      </w:r>
    </w:p>
    <w:p w14:paraId="31C10032" w14:textId="77777777" w:rsidR="00BE5337" w:rsidRPr="00BE5337" w:rsidRDefault="00BE5337" w:rsidP="00BE5337">
      <w:pPr>
        <w:pStyle w:val="Text"/>
        <w:jc w:val="both"/>
      </w:pPr>
      <w:r w:rsidRPr="00BE5337">
        <w:t xml:space="preserve">Effervesce is currently positioned around taste, familiarity, and mass appeal, which continues to work for legacy consumers but offers limited relevance for health-driven shoppers. To remain competitive, the brand needs to </w:t>
      </w:r>
      <w:r w:rsidRPr="00BE5337">
        <w:rPr>
          <w:b/>
          <w:bCs/>
        </w:rPr>
        <w:t>extend its positioning to include clear functional and wellness cues</w:t>
      </w:r>
      <w:r w:rsidRPr="00BE5337">
        <w:t>, while retaining the taste credentials that define Effervesce.</w:t>
      </w:r>
    </w:p>
    <w:p w14:paraId="00B5C585" w14:textId="77777777" w:rsidR="00126409" w:rsidRPr="00126409" w:rsidRDefault="00126409" w:rsidP="00BE5337">
      <w:pPr>
        <w:pStyle w:val="Text"/>
        <w:ind w:left="0"/>
      </w:pPr>
    </w:p>
    <w:p w14:paraId="694A0CD5" w14:textId="77777777" w:rsidR="00764768" w:rsidRDefault="00764768" w:rsidP="00764768">
      <w:pPr>
        <w:pStyle w:val="Heading2"/>
        <w:numPr>
          <w:ilvl w:val="0"/>
          <w:numId w:val="2"/>
        </w:numPr>
        <w:rPr>
          <w:rFonts w:cs="Times New Roman"/>
          <w:sz w:val="28"/>
          <w:szCs w:val="28"/>
        </w:rPr>
      </w:pPr>
      <w:r w:rsidRPr="00764768">
        <w:rPr>
          <w:rFonts w:cs="Times New Roman"/>
          <w:sz w:val="28"/>
          <w:szCs w:val="28"/>
        </w:rPr>
        <w:t>Marketing Mix Evaluation (7Ps Focus: Price, Promotion, Pack Sizes)</w:t>
      </w:r>
    </w:p>
    <w:p w14:paraId="2E9CFD07" w14:textId="77777777" w:rsidR="00FB5852" w:rsidRPr="00FB5852" w:rsidRDefault="00FB5852" w:rsidP="00FB5852">
      <w:pPr>
        <w:pStyle w:val="Text"/>
        <w:jc w:val="both"/>
      </w:pPr>
      <w:r w:rsidRPr="00FB5852">
        <w:t xml:space="preserve">The evaluation of the marketing mix focuses on </w:t>
      </w:r>
      <w:r w:rsidRPr="00FB5852">
        <w:rPr>
          <w:b/>
          <w:bCs/>
        </w:rPr>
        <w:t>price levels, pack-size structure, and promotional effectiveness</w:t>
      </w:r>
      <w:r w:rsidRPr="00FB5852">
        <w:t xml:space="preserve">, as these variables show the strongest relationship with recent changes in consumer </w:t>
      </w:r>
      <w:proofErr w:type="spellStart"/>
      <w:r w:rsidRPr="00FB5852">
        <w:t>behavior</w:t>
      </w:r>
      <w:proofErr w:type="spellEnd"/>
      <w:r w:rsidRPr="00FB5852">
        <w:t>.</w:t>
      </w:r>
    </w:p>
    <w:p w14:paraId="75AD50CC" w14:textId="77777777" w:rsidR="00995921" w:rsidRDefault="00FB5852" w:rsidP="00FB5852">
      <w:pPr>
        <w:pStyle w:val="Text"/>
        <w:jc w:val="both"/>
        <w:rPr>
          <w:b/>
          <w:bCs/>
        </w:rPr>
      </w:pPr>
      <w:r w:rsidRPr="00FB5852">
        <w:rPr>
          <w:b/>
          <w:bCs/>
        </w:rPr>
        <w:t>Price and Pack Sizes</w:t>
      </w:r>
      <w:r w:rsidR="00995921">
        <w:rPr>
          <w:b/>
          <w:bCs/>
        </w:rPr>
        <w:t>:</w:t>
      </w:r>
    </w:p>
    <w:p w14:paraId="57A3B41B" w14:textId="28FC64A2" w:rsidR="00FB5852" w:rsidRPr="00FB5852" w:rsidRDefault="00FB5852" w:rsidP="00FB5852">
      <w:pPr>
        <w:pStyle w:val="Text"/>
        <w:jc w:val="both"/>
      </w:pPr>
      <w:r w:rsidRPr="00FB5852">
        <w:t xml:space="preserve">Effervesce operates primarily across three price points: </w:t>
      </w:r>
      <w:r w:rsidRPr="00FB5852">
        <w:rPr>
          <w:b/>
          <w:bCs/>
        </w:rPr>
        <w:t>$1.25 (entry pack)</w:t>
      </w:r>
      <w:r w:rsidRPr="00FB5852">
        <w:t xml:space="preserve">, </w:t>
      </w:r>
      <w:r w:rsidRPr="00FB5852">
        <w:rPr>
          <w:b/>
          <w:bCs/>
        </w:rPr>
        <w:t>$1.99 (family pack)</w:t>
      </w:r>
      <w:r w:rsidRPr="00FB5852">
        <w:t xml:space="preserve">, and </w:t>
      </w:r>
      <w:r w:rsidRPr="00FB5852">
        <w:rPr>
          <w:b/>
          <w:bCs/>
        </w:rPr>
        <w:t>$3.49 (premium pack)</w:t>
      </w:r>
      <w:r w:rsidRPr="00FB5852">
        <w:t xml:space="preserve">. Segment-level analysis shows that </w:t>
      </w:r>
      <w:r w:rsidRPr="00FB5852">
        <w:rPr>
          <w:b/>
          <w:bCs/>
        </w:rPr>
        <w:t>Millennials and Gen-Z consumers over-index at the $3.49 price point</w:t>
      </w:r>
      <w:r w:rsidRPr="00FB5852">
        <w:t xml:space="preserve">, with premium-seeking consumers contributing </w:t>
      </w:r>
      <w:r w:rsidRPr="00FB5852">
        <w:rPr>
          <w:b/>
          <w:bCs/>
        </w:rPr>
        <w:t>+1.09 percentage points</w:t>
      </w:r>
      <w:r w:rsidRPr="00FB5852">
        <w:t xml:space="preserve"> to premium share. However, repeat purchasing within this cohort remains lower than among older consumers, indicating interest in premium offerings but limited willingness to commit at higher pack sizes.</w:t>
      </w:r>
    </w:p>
    <w:p w14:paraId="3E416359" w14:textId="77777777" w:rsidR="00FB5852" w:rsidRPr="00FB5852" w:rsidRDefault="00FB5852" w:rsidP="00FB5852">
      <w:pPr>
        <w:pStyle w:val="Text"/>
        <w:jc w:val="both"/>
      </w:pPr>
      <w:r w:rsidRPr="00FB5852">
        <w:t xml:space="preserve">At the lower end of the price spectrum, </w:t>
      </w:r>
      <w:r w:rsidRPr="00FB5852">
        <w:rPr>
          <w:b/>
          <w:bCs/>
        </w:rPr>
        <w:t>value seekers exhibit the highest price sensitivity</w:t>
      </w:r>
      <w:r w:rsidRPr="00FB5852">
        <w:t xml:space="preserve">, with private labels gaining </w:t>
      </w:r>
      <w:r w:rsidRPr="00FB5852">
        <w:rPr>
          <w:b/>
          <w:bCs/>
        </w:rPr>
        <w:t>+3.67 percentage points</w:t>
      </w:r>
      <w:r w:rsidRPr="00FB5852">
        <w:t xml:space="preserve"> of share within this segment. </w:t>
      </w:r>
      <w:proofErr w:type="spellStart"/>
      <w:r w:rsidRPr="00FB5852">
        <w:t>Effervesce’s</w:t>
      </w:r>
      <w:proofErr w:type="spellEnd"/>
      <w:r w:rsidRPr="00FB5852">
        <w:t xml:space="preserve"> entry-level packs have not been sufficient to retain these consumers, suggesting that the current price ladder does not adequately protect against low-price substitution.</w:t>
      </w:r>
    </w:p>
    <w:p w14:paraId="6D8D2A9E" w14:textId="77777777" w:rsidR="00FB5852" w:rsidRDefault="00FB5852" w:rsidP="00FB5852">
      <w:pPr>
        <w:pStyle w:val="Text"/>
        <w:jc w:val="both"/>
      </w:pPr>
      <w:r w:rsidRPr="00FB5852">
        <w:lastRenderedPageBreak/>
        <w:t xml:space="preserve">Overall, the data indicates a </w:t>
      </w:r>
      <w:r w:rsidRPr="00FB5852">
        <w:rPr>
          <w:b/>
          <w:bCs/>
        </w:rPr>
        <w:t>missing mid-tier price and pack-size option</w:t>
      </w:r>
      <w:r w:rsidRPr="00FB5852">
        <w:t xml:space="preserve">, which restricts </w:t>
      </w:r>
      <w:proofErr w:type="spellStart"/>
      <w:r w:rsidRPr="00FB5852">
        <w:t>Effervesce’s</w:t>
      </w:r>
      <w:proofErr w:type="spellEnd"/>
      <w:r w:rsidRPr="00FB5852">
        <w:t xml:space="preserve"> ability to convert premium trial into sustained consumption while simultaneously failing to defend against value-driven churn.</w:t>
      </w:r>
    </w:p>
    <w:p w14:paraId="3942F827" w14:textId="77777777" w:rsidR="009F3F26" w:rsidRPr="00FB5852" w:rsidRDefault="009F3F26" w:rsidP="00FB5852">
      <w:pPr>
        <w:pStyle w:val="Text"/>
        <w:jc w:val="both"/>
      </w:pPr>
    </w:p>
    <w:p w14:paraId="049E1E1E" w14:textId="77777777" w:rsidR="00995921" w:rsidRDefault="00FB5852" w:rsidP="00FB5852">
      <w:pPr>
        <w:pStyle w:val="Text"/>
        <w:jc w:val="both"/>
        <w:rPr>
          <w:b/>
          <w:bCs/>
        </w:rPr>
      </w:pPr>
      <w:r w:rsidRPr="00FB5852">
        <w:rPr>
          <w:b/>
          <w:bCs/>
        </w:rPr>
        <w:t>Promotion Effectiveness</w:t>
      </w:r>
      <w:r w:rsidR="00995921">
        <w:rPr>
          <w:b/>
          <w:bCs/>
        </w:rPr>
        <w:t>:</w:t>
      </w:r>
    </w:p>
    <w:p w14:paraId="5BA8CEB5" w14:textId="5BE53E91" w:rsidR="00FB5852" w:rsidRPr="00FB5852" w:rsidRDefault="00FB5852" w:rsidP="00FB5852">
      <w:pPr>
        <w:pStyle w:val="Text"/>
        <w:jc w:val="both"/>
      </w:pPr>
      <w:r w:rsidRPr="00FB5852">
        <w:t xml:space="preserve">Promotional analysis shows that </w:t>
      </w:r>
      <w:r w:rsidRPr="00FB5852">
        <w:rPr>
          <w:b/>
          <w:bCs/>
        </w:rPr>
        <w:t>traditional price-led promotions (e.g., BOGO and deep discounts)</w:t>
      </w:r>
      <w:r w:rsidRPr="00FB5852">
        <w:t xml:space="preserve"> remain most effective among </w:t>
      </w:r>
      <w:r w:rsidRPr="00FB5852">
        <w:rPr>
          <w:b/>
          <w:bCs/>
        </w:rPr>
        <w:t>Gen-X consumers</w:t>
      </w:r>
      <w:r w:rsidRPr="00FB5852">
        <w:t xml:space="preserve">, where Effervesce retains relatively higher share stability despite broader category pressure. In contrast, </w:t>
      </w:r>
      <w:r w:rsidRPr="00FB5852">
        <w:rPr>
          <w:b/>
          <w:bCs/>
        </w:rPr>
        <w:t xml:space="preserve">Gen-Z purchasing </w:t>
      </w:r>
      <w:proofErr w:type="spellStart"/>
      <w:r w:rsidRPr="00FB5852">
        <w:rPr>
          <w:b/>
          <w:bCs/>
        </w:rPr>
        <w:t>behavior</w:t>
      </w:r>
      <w:proofErr w:type="spellEnd"/>
      <w:r w:rsidRPr="00FB5852">
        <w:rPr>
          <w:b/>
          <w:bCs/>
        </w:rPr>
        <w:t xml:space="preserve"> shows minimal variation across promotional types</w:t>
      </w:r>
      <w:r w:rsidRPr="00FB5852">
        <w:t>, closely resembling Gen-X patterns rather than demonstrating higher digital responsiveness.</w:t>
      </w:r>
    </w:p>
    <w:p w14:paraId="760ED163" w14:textId="77777777" w:rsidR="00FB5852" w:rsidRPr="00FB5852" w:rsidRDefault="00FB5852" w:rsidP="00FB5852">
      <w:pPr>
        <w:pStyle w:val="Text"/>
        <w:jc w:val="both"/>
      </w:pPr>
      <w:r w:rsidRPr="00FB5852">
        <w:t xml:space="preserve">This suggests that existing promotions are </w:t>
      </w:r>
      <w:r w:rsidRPr="00FB5852">
        <w:rPr>
          <w:b/>
          <w:bCs/>
        </w:rPr>
        <w:t>not materially influencing Gen-Z brand choice</w:t>
      </w:r>
      <w:r w:rsidRPr="00FB5852">
        <w:t>, despite significant promotional spend. Limited engagement observed through digital and app-based promotions indicates potential upside, but these channels are currently underutilized relative to traditional discounting.</w:t>
      </w:r>
    </w:p>
    <w:p w14:paraId="5C17FCB7" w14:textId="77777777" w:rsidR="00995921" w:rsidRDefault="00FB5852" w:rsidP="00FB5852">
      <w:pPr>
        <w:pStyle w:val="Text"/>
        <w:jc w:val="both"/>
        <w:rPr>
          <w:b/>
          <w:bCs/>
        </w:rPr>
      </w:pPr>
      <w:r w:rsidRPr="00FB5852">
        <w:rPr>
          <w:b/>
          <w:bCs/>
        </w:rPr>
        <w:t>Implications for the Marketing Mix</w:t>
      </w:r>
      <w:r w:rsidR="00995921">
        <w:rPr>
          <w:b/>
          <w:bCs/>
        </w:rPr>
        <w:t>:</w:t>
      </w:r>
    </w:p>
    <w:p w14:paraId="3183C8CA" w14:textId="32BB722D" w:rsidR="00FB5852" w:rsidRPr="00FB5852" w:rsidRDefault="00FB5852" w:rsidP="00FB5852">
      <w:pPr>
        <w:pStyle w:val="Text"/>
        <w:jc w:val="both"/>
      </w:pPr>
      <w:r w:rsidRPr="00FB5852">
        <w:t>Numerically, Effervesce faces pressure at both ends of the spectrum:</w:t>
      </w:r>
    </w:p>
    <w:p w14:paraId="27BAB0BF" w14:textId="77777777" w:rsidR="00FB5852" w:rsidRPr="00FB5852" w:rsidRDefault="00FB5852" w:rsidP="00FB5852">
      <w:pPr>
        <w:pStyle w:val="Text"/>
        <w:numPr>
          <w:ilvl w:val="0"/>
          <w:numId w:val="12"/>
        </w:numPr>
        <w:tabs>
          <w:tab w:val="clear" w:pos="720"/>
          <w:tab w:val="num" w:pos="1080"/>
        </w:tabs>
        <w:ind w:left="1080"/>
        <w:jc w:val="both"/>
      </w:pPr>
      <w:r w:rsidRPr="00FB5852">
        <w:rPr>
          <w:b/>
          <w:bCs/>
        </w:rPr>
        <w:t>Premium segments</w:t>
      </w:r>
      <w:r w:rsidRPr="00FB5852">
        <w:t xml:space="preserve"> show willingness to pay (premium share +1.09 pp) but low retention</w:t>
      </w:r>
    </w:p>
    <w:p w14:paraId="401B4E2D" w14:textId="77777777" w:rsidR="00FB5852" w:rsidRPr="00FB5852" w:rsidRDefault="00FB5852" w:rsidP="00FB5852">
      <w:pPr>
        <w:pStyle w:val="Text"/>
        <w:numPr>
          <w:ilvl w:val="0"/>
          <w:numId w:val="12"/>
        </w:numPr>
        <w:tabs>
          <w:tab w:val="clear" w:pos="720"/>
          <w:tab w:val="num" w:pos="1080"/>
        </w:tabs>
        <w:ind w:left="1080"/>
        <w:jc w:val="both"/>
      </w:pPr>
      <w:r w:rsidRPr="00FB5852">
        <w:rPr>
          <w:b/>
          <w:bCs/>
        </w:rPr>
        <w:t>Value segments</w:t>
      </w:r>
      <w:r w:rsidRPr="00FB5852">
        <w:t xml:space="preserve"> show high elasticity and substitution (private label share +3.67 pp)</w:t>
      </w:r>
    </w:p>
    <w:p w14:paraId="7292F66D" w14:textId="77777777" w:rsidR="00FB5852" w:rsidRPr="00FB5852" w:rsidRDefault="00FB5852" w:rsidP="00FB5852">
      <w:pPr>
        <w:pStyle w:val="Text"/>
        <w:jc w:val="both"/>
      </w:pPr>
      <w:r w:rsidRPr="00FB5852">
        <w:t xml:space="preserve">The current marketing mix therefore supports neither sustained premium growth nor effective value </w:t>
      </w:r>
      <w:proofErr w:type="spellStart"/>
      <w:r w:rsidRPr="00FB5852">
        <w:t>defense</w:t>
      </w:r>
      <w:proofErr w:type="spellEnd"/>
      <w:r w:rsidRPr="00FB5852">
        <w:t>. To improve performance, Effervesce must rebalance its price ladder by introducing lower-commitment premium pack sizes and shift promotional emphasis away from broad discounts toward more targeted, engagement-led activation.</w:t>
      </w:r>
    </w:p>
    <w:p w14:paraId="58262823" w14:textId="77777777" w:rsidR="00764768" w:rsidRPr="00764768" w:rsidRDefault="00764768" w:rsidP="00764768">
      <w:pPr>
        <w:rPr>
          <w:rFonts w:ascii="Times New Roman" w:hAnsi="Times New Roman" w:cs="Times New Roman"/>
        </w:rPr>
      </w:pPr>
    </w:p>
    <w:p w14:paraId="6D33C95F" w14:textId="77777777" w:rsidR="00764768" w:rsidRDefault="00764768" w:rsidP="00764768">
      <w:pPr>
        <w:pStyle w:val="Heading2"/>
        <w:numPr>
          <w:ilvl w:val="0"/>
          <w:numId w:val="2"/>
        </w:numPr>
        <w:rPr>
          <w:rFonts w:cs="Times New Roman"/>
          <w:sz w:val="28"/>
          <w:szCs w:val="28"/>
        </w:rPr>
      </w:pPr>
      <w:r w:rsidRPr="00764768">
        <w:rPr>
          <w:rFonts w:cs="Times New Roman"/>
          <w:sz w:val="28"/>
          <w:szCs w:val="28"/>
        </w:rPr>
        <w:t>Strategic Recommendations</w:t>
      </w:r>
    </w:p>
    <w:p w14:paraId="46E1A2E6" w14:textId="79FDEA66" w:rsidR="007213EA" w:rsidRPr="007213EA" w:rsidRDefault="007213EA" w:rsidP="007213EA">
      <w:pPr>
        <w:pStyle w:val="Text"/>
        <w:jc w:val="both"/>
      </w:pPr>
      <w:r w:rsidRPr="007213EA">
        <w:t xml:space="preserve">Aurora should pivot Effervesce toward a </w:t>
      </w:r>
      <w:r w:rsidRPr="007213EA">
        <w:rPr>
          <w:b/>
          <w:bCs/>
        </w:rPr>
        <w:t>functional beverage line extension</w:t>
      </w:r>
      <w:r w:rsidRPr="007213EA">
        <w:t xml:space="preserve"> rather than pursuing retro-premiumization. The brand’s decline is driven by loss of </w:t>
      </w:r>
      <w:r w:rsidRPr="007213EA">
        <w:rPr>
          <w:b/>
          <w:bCs/>
        </w:rPr>
        <w:t>health-oriented, high-value consumers</w:t>
      </w:r>
      <w:r w:rsidRPr="007213EA">
        <w:t xml:space="preserve"> to Zest-Bio, not by erosion among price-sensitive shoppers. </w:t>
      </w:r>
    </w:p>
    <w:p w14:paraId="1CEBFE28" w14:textId="77777777" w:rsidR="007213EA" w:rsidRPr="007213EA" w:rsidRDefault="007213EA" w:rsidP="007213EA">
      <w:pPr>
        <w:pStyle w:val="Text"/>
        <w:jc w:val="both"/>
        <w:rPr>
          <w:b/>
          <w:bCs/>
        </w:rPr>
      </w:pPr>
      <w:r w:rsidRPr="007213EA">
        <w:rPr>
          <w:b/>
          <w:bCs/>
        </w:rPr>
        <w:t>Key Strategic Insight</w:t>
      </w:r>
    </w:p>
    <w:p w14:paraId="2482063F" w14:textId="77777777" w:rsidR="007213EA" w:rsidRPr="007213EA" w:rsidRDefault="007213EA" w:rsidP="007213EA">
      <w:pPr>
        <w:pStyle w:val="Text"/>
        <w:jc w:val="both"/>
      </w:pPr>
      <w:r w:rsidRPr="007213EA">
        <w:t>The consumers switching away from Effervesce are:</w:t>
      </w:r>
    </w:p>
    <w:p w14:paraId="2B365DD4" w14:textId="77777777" w:rsidR="007213EA" w:rsidRPr="007213EA" w:rsidRDefault="007213EA" w:rsidP="007213EA">
      <w:pPr>
        <w:pStyle w:val="Text"/>
        <w:numPr>
          <w:ilvl w:val="0"/>
          <w:numId w:val="13"/>
        </w:numPr>
        <w:jc w:val="both"/>
      </w:pPr>
      <w:r w:rsidRPr="007213EA">
        <w:rPr>
          <w:b/>
          <w:bCs/>
        </w:rPr>
        <w:t>Health-conscious buyers</w:t>
      </w:r>
    </w:p>
    <w:p w14:paraId="5FBA57AB" w14:textId="77777777" w:rsidR="007213EA" w:rsidRPr="007213EA" w:rsidRDefault="007213EA" w:rsidP="007213EA">
      <w:pPr>
        <w:pStyle w:val="Text"/>
        <w:numPr>
          <w:ilvl w:val="0"/>
          <w:numId w:val="13"/>
        </w:numPr>
        <w:jc w:val="both"/>
      </w:pPr>
      <w:r w:rsidRPr="007213EA">
        <w:rPr>
          <w:b/>
          <w:bCs/>
        </w:rPr>
        <w:t>Millennials</w:t>
      </w:r>
    </w:p>
    <w:p w14:paraId="0AC22A2B" w14:textId="77777777" w:rsidR="007213EA" w:rsidRPr="007213EA" w:rsidRDefault="007213EA" w:rsidP="007213EA">
      <w:pPr>
        <w:pStyle w:val="Text"/>
        <w:numPr>
          <w:ilvl w:val="0"/>
          <w:numId w:val="13"/>
        </w:numPr>
        <w:jc w:val="both"/>
      </w:pPr>
      <w:r w:rsidRPr="007213EA">
        <w:rPr>
          <w:b/>
          <w:bCs/>
        </w:rPr>
        <w:t>High-loyalty shoppers</w:t>
      </w:r>
    </w:p>
    <w:p w14:paraId="55D86E70" w14:textId="77777777" w:rsidR="007213EA" w:rsidRPr="007213EA" w:rsidRDefault="007213EA" w:rsidP="007213EA">
      <w:pPr>
        <w:pStyle w:val="Text"/>
        <w:numPr>
          <w:ilvl w:val="0"/>
          <w:numId w:val="13"/>
        </w:numPr>
        <w:jc w:val="both"/>
      </w:pPr>
      <w:r w:rsidRPr="007213EA">
        <w:rPr>
          <w:b/>
          <w:bCs/>
        </w:rPr>
        <w:t>Premium seekers</w:t>
      </w:r>
    </w:p>
    <w:p w14:paraId="6B11AF14" w14:textId="77777777" w:rsidR="007213EA" w:rsidRPr="007213EA" w:rsidRDefault="007213EA" w:rsidP="007213EA">
      <w:pPr>
        <w:pStyle w:val="Text"/>
        <w:jc w:val="both"/>
      </w:pPr>
      <w:r w:rsidRPr="007213EA">
        <w:lastRenderedPageBreak/>
        <w:t xml:space="preserve">These segments represent </w:t>
      </w:r>
      <w:r w:rsidRPr="007213EA">
        <w:rPr>
          <w:b/>
          <w:bCs/>
        </w:rPr>
        <w:t>future growth and higher margins</w:t>
      </w:r>
      <w:r w:rsidRPr="007213EA">
        <w:t xml:space="preserve">. Their shift indicates that the category is evolving toward </w:t>
      </w:r>
      <w:r w:rsidRPr="007213EA">
        <w:rPr>
          <w:b/>
          <w:bCs/>
        </w:rPr>
        <w:t>wellness, functionality, and purpose-driven consumption</w:t>
      </w:r>
      <w:r w:rsidRPr="007213EA">
        <w:t xml:space="preserve">, where Effervesce currently lacks relevance. </w:t>
      </w:r>
    </w:p>
    <w:p w14:paraId="34FD5C5E" w14:textId="77777777" w:rsidR="007213EA" w:rsidRPr="007213EA" w:rsidRDefault="007213EA" w:rsidP="007213EA">
      <w:pPr>
        <w:pStyle w:val="Text"/>
        <w:jc w:val="both"/>
        <w:rPr>
          <w:b/>
          <w:bCs/>
        </w:rPr>
      </w:pPr>
      <w:r w:rsidRPr="007213EA">
        <w:rPr>
          <w:b/>
          <w:bCs/>
        </w:rPr>
        <w:t>Recommended Strategic Direction: Functional Extension</w:t>
      </w:r>
    </w:p>
    <w:p w14:paraId="76CD4E0C" w14:textId="77777777" w:rsidR="007213EA" w:rsidRPr="007213EA" w:rsidRDefault="007213EA" w:rsidP="007213EA">
      <w:pPr>
        <w:pStyle w:val="Text"/>
        <w:jc w:val="both"/>
      </w:pPr>
      <w:r w:rsidRPr="007213EA">
        <w:t xml:space="preserve">Aurora should introduce a </w:t>
      </w:r>
      <w:r w:rsidRPr="007213EA">
        <w:rPr>
          <w:b/>
          <w:bCs/>
        </w:rPr>
        <w:t>functional sub-line</w:t>
      </w:r>
      <w:r w:rsidRPr="007213EA">
        <w:t xml:space="preserve"> under Effervesce to directly compete in the growing wellness segment.</w:t>
      </w:r>
    </w:p>
    <w:p w14:paraId="3D3822A3" w14:textId="77777777" w:rsidR="007213EA" w:rsidRPr="007213EA" w:rsidRDefault="007213EA" w:rsidP="007213EA">
      <w:pPr>
        <w:pStyle w:val="Text"/>
        <w:jc w:val="both"/>
      </w:pPr>
      <w:r w:rsidRPr="007213EA">
        <w:rPr>
          <w:b/>
          <w:bCs/>
        </w:rPr>
        <w:t>Strategic Actions</w:t>
      </w:r>
    </w:p>
    <w:p w14:paraId="2D959FDB" w14:textId="68C8780A" w:rsidR="007213EA" w:rsidRPr="007213EA" w:rsidRDefault="007213EA" w:rsidP="007213EA">
      <w:pPr>
        <w:pStyle w:val="Text"/>
        <w:numPr>
          <w:ilvl w:val="0"/>
          <w:numId w:val="15"/>
        </w:numPr>
        <w:jc w:val="both"/>
      </w:pPr>
      <w:r w:rsidRPr="007213EA">
        <w:t>Develop formulations with functional benefits (e.g., electrolytes, vitamins, or wellness-oriented ingredients)</w:t>
      </w:r>
      <w:r>
        <w:t>.</w:t>
      </w:r>
    </w:p>
    <w:p w14:paraId="602269D3" w14:textId="6DB1FC1C" w:rsidR="007213EA" w:rsidRPr="007213EA" w:rsidRDefault="007213EA" w:rsidP="007213EA">
      <w:pPr>
        <w:pStyle w:val="Text"/>
        <w:numPr>
          <w:ilvl w:val="0"/>
          <w:numId w:val="15"/>
        </w:numPr>
        <w:jc w:val="both"/>
      </w:pPr>
      <w:r w:rsidRPr="007213EA">
        <w:t>Offer lighter or reduced-calorie variants aligned with weight-management trends</w:t>
      </w:r>
      <w:r>
        <w:t>.</w:t>
      </w:r>
    </w:p>
    <w:p w14:paraId="2342B89E" w14:textId="6021AE43" w:rsidR="007213EA" w:rsidRPr="007213EA" w:rsidRDefault="007213EA" w:rsidP="007213EA">
      <w:pPr>
        <w:pStyle w:val="Text"/>
        <w:numPr>
          <w:ilvl w:val="0"/>
          <w:numId w:val="15"/>
        </w:numPr>
        <w:jc w:val="both"/>
      </w:pPr>
      <w:r w:rsidRPr="007213EA">
        <w:t>Incorporate clean-label positioning and credible sustainability elements</w:t>
      </w:r>
      <w:r>
        <w:t>.</w:t>
      </w:r>
    </w:p>
    <w:p w14:paraId="51B14DA1" w14:textId="0727365B" w:rsidR="007213EA" w:rsidRPr="007213EA" w:rsidRDefault="007213EA" w:rsidP="007213EA">
      <w:pPr>
        <w:pStyle w:val="Text"/>
        <w:numPr>
          <w:ilvl w:val="0"/>
          <w:numId w:val="15"/>
        </w:numPr>
        <w:jc w:val="both"/>
      </w:pPr>
      <w:r w:rsidRPr="007213EA">
        <w:t xml:space="preserve">Maintain a premium price tier justified by </w:t>
      </w:r>
      <w:r w:rsidRPr="007213EA">
        <w:rPr>
          <w:b/>
          <w:bCs/>
        </w:rPr>
        <w:t>health and functional value</w:t>
      </w:r>
      <w:r>
        <w:rPr>
          <w:b/>
          <w:bCs/>
        </w:rPr>
        <w:t>.</w:t>
      </w:r>
    </w:p>
    <w:p w14:paraId="6A12A81E" w14:textId="77777777" w:rsidR="007213EA" w:rsidRPr="007213EA" w:rsidRDefault="007213EA" w:rsidP="007213EA">
      <w:pPr>
        <w:pStyle w:val="Text"/>
        <w:ind w:left="1080"/>
        <w:jc w:val="both"/>
      </w:pPr>
    </w:p>
    <w:p w14:paraId="692D3FD1" w14:textId="77777777" w:rsidR="007213EA" w:rsidRDefault="007213EA" w:rsidP="007213EA">
      <w:pPr>
        <w:pStyle w:val="Text"/>
        <w:jc w:val="both"/>
      </w:pPr>
      <w:r w:rsidRPr="007213EA">
        <w:rPr>
          <w:b/>
          <w:bCs/>
        </w:rPr>
        <w:t>Positioning</w:t>
      </w:r>
      <w:r>
        <w:rPr>
          <w:b/>
          <w:bCs/>
        </w:rPr>
        <w:t xml:space="preserve"> </w:t>
      </w:r>
      <w:r w:rsidRPr="007213EA">
        <w:rPr>
          <w:b/>
          <w:bCs/>
        </w:rPr>
        <w:t>Approach</w:t>
      </w:r>
      <w:r>
        <w:t xml:space="preserve">: </w:t>
      </w:r>
    </w:p>
    <w:p w14:paraId="19FBF73A" w14:textId="7512B16B" w:rsidR="007213EA" w:rsidRDefault="007213EA" w:rsidP="007213EA">
      <w:pPr>
        <w:pStyle w:val="Text"/>
        <w:jc w:val="both"/>
      </w:pPr>
      <w:r w:rsidRPr="007213EA">
        <w:t xml:space="preserve">Effervesce should evolve from a traditional soda toward a </w:t>
      </w:r>
      <w:r w:rsidRPr="007213EA">
        <w:rPr>
          <w:b/>
          <w:bCs/>
        </w:rPr>
        <w:t>modern, wellness-compatible refreshment</w:t>
      </w:r>
      <w:r w:rsidRPr="007213EA">
        <w:t>, retaining brand equity while expanding into functional territory.</w:t>
      </w:r>
    </w:p>
    <w:p w14:paraId="2DFB8988" w14:textId="77777777" w:rsidR="007213EA" w:rsidRPr="007213EA" w:rsidRDefault="007213EA" w:rsidP="007213EA">
      <w:pPr>
        <w:pStyle w:val="Text"/>
        <w:jc w:val="both"/>
      </w:pPr>
    </w:p>
    <w:p w14:paraId="72482876" w14:textId="07F62F23" w:rsidR="007213EA" w:rsidRPr="007213EA" w:rsidRDefault="007213EA" w:rsidP="007213EA">
      <w:pPr>
        <w:pStyle w:val="Text"/>
        <w:jc w:val="both"/>
        <w:rPr>
          <w:b/>
          <w:bCs/>
        </w:rPr>
      </w:pPr>
      <w:r w:rsidRPr="007213EA">
        <w:rPr>
          <w:b/>
          <w:bCs/>
        </w:rPr>
        <w:t>Strategic Outcome</w:t>
      </w:r>
      <w:r>
        <w:rPr>
          <w:b/>
          <w:bCs/>
        </w:rPr>
        <w:t>:</w:t>
      </w:r>
    </w:p>
    <w:p w14:paraId="55452024" w14:textId="77777777" w:rsidR="007213EA" w:rsidRPr="007213EA" w:rsidRDefault="007213EA" w:rsidP="007213EA">
      <w:pPr>
        <w:pStyle w:val="Text"/>
        <w:jc w:val="both"/>
      </w:pPr>
      <w:r w:rsidRPr="007213EA">
        <w:t>This pivot allows Aurora to:</w:t>
      </w:r>
    </w:p>
    <w:p w14:paraId="57EEE6DC" w14:textId="77777777" w:rsidR="007213EA" w:rsidRPr="007213EA" w:rsidRDefault="007213EA" w:rsidP="007213EA">
      <w:pPr>
        <w:pStyle w:val="Text"/>
        <w:numPr>
          <w:ilvl w:val="0"/>
          <w:numId w:val="16"/>
        </w:numPr>
        <w:jc w:val="both"/>
      </w:pPr>
      <w:r w:rsidRPr="007213EA">
        <w:t>Reclaim high-value, trend-setting consumers</w:t>
      </w:r>
    </w:p>
    <w:p w14:paraId="031B6157" w14:textId="77777777" w:rsidR="007213EA" w:rsidRPr="007213EA" w:rsidRDefault="007213EA" w:rsidP="007213EA">
      <w:pPr>
        <w:pStyle w:val="Text"/>
        <w:numPr>
          <w:ilvl w:val="0"/>
          <w:numId w:val="16"/>
        </w:numPr>
        <w:jc w:val="both"/>
      </w:pPr>
      <w:r w:rsidRPr="007213EA">
        <w:t xml:space="preserve">Compete on </w:t>
      </w:r>
      <w:r w:rsidRPr="007213EA">
        <w:rPr>
          <w:b/>
          <w:bCs/>
        </w:rPr>
        <w:t>benefit-driven differentiation</w:t>
      </w:r>
      <w:r w:rsidRPr="007213EA">
        <w:t xml:space="preserve"> rather than nostalgia</w:t>
      </w:r>
    </w:p>
    <w:p w14:paraId="4C71EACC" w14:textId="77777777" w:rsidR="007213EA" w:rsidRPr="007213EA" w:rsidRDefault="007213EA" w:rsidP="007213EA">
      <w:pPr>
        <w:pStyle w:val="Text"/>
        <w:numPr>
          <w:ilvl w:val="0"/>
          <w:numId w:val="16"/>
        </w:numPr>
        <w:jc w:val="both"/>
      </w:pPr>
      <w:r w:rsidRPr="007213EA">
        <w:t>Align with long-term category growth drivers</w:t>
      </w:r>
    </w:p>
    <w:p w14:paraId="494963AF" w14:textId="77777777" w:rsidR="007213EA" w:rsidRPr="007213EA" w:rsidRDefault="007213EA" w:rsidP="007213EA">
      <w:pPr>
        <w:pStyle w:val="Text"/>
        <w:numPr>
          <w:ilvl w:val="0"/>
          <w:numId w:val="16"/>
        </w:numPr>
        <w:jc w:val="both"/>
      </w:pPr>
      <w:r w:rsidRPr="007213EA">
        <w:t>Protect profitability by justifying premium pricing</w:t>
      </w:r>
    </w:p>
    <w:p w14:paraId="5D79AE73" w14:textId="77777777" w:rsidR="00764768" w:rsidRPr="00764768" w:rsidRDefault="00764768" w:rsidP="00764768">
      <w:pPr>
        <w:rPr>
          <w:rFonts w:ascii="Times New Roman" w:hAnsi="Times New Roman" w:cs="Times New Roman"/>
        </w:rPr>
      </w:pPr>
    </w:p>
    <w:p w14:paraId="5C2F8EE6" w14:textId="122F9149" w:rsidR="0002720A" w:rsidRDefault="0002720A" w:rsidP="00764768">
      <w:pPr>
        <w:pStyle w:val="Heading2"/>
        <w:numPr>
          <w:ilvl w:val="0"/>
          <w:numId w:val="2"/>
        </w:numPr>
        <w:rPr>
          <w:rFonts w:cs="Times New Roman"/>
          <w:sz w:val="28"/>
          <w:szCs w:val="28"/>
        </w:rPr>
      </w:pPr>
      <w:r>
        <w:rPr>
          <w:rFonts w:cs="Times New Roman"/>
          <w:sz w:val="28"/>
          <w:szCs w:val="28"/>
        </w:rPr>
        <w:t>Assumptions:</w:t>
      </w:r>
    </w:p>
    <w:p w14:paraId="495789CE" w14:textId="47568978" w:rsidR="007213EA" w:rsidRDefault="0002720A" w:rsidP="007213EA">
      <w:pPr>
        <w:pStyle w:val="Text"/>
        <w:jc w:val="both"/>
      </w:pPr>
      <w:r w:rsidRPr="0002720A">
        <w:t xml:space="preserve">The analysis in this report is based on the assumptions below, in line with the approach implemented in </w:t>
      </w:r>
      <w:proofErr w:type="spellStart"/>
      <w:r w:rsidR="00541D69">
        <w:t>Team_Hacktacular_Code</w:t>
      </w:r>
      <w:r w:rsidRPr="0002720A">
        <w:t>.ipynb</w:t>
      </w:r>
      <w:proofErr w:type="spellEnd"/>
      <w:r w:rsidRPr="0002720A">
        <w:t>:</w:t>
      </w:r>
    </w:p>
    <w:p w14:paraId="3E4E85C5" w14:textId="56FB38F1" w:rsidR="007213EA" w:rsidRDefault="007213EA" w:rsidP="007213EA">
      <w:pPr>
        <w:pStyle w:val="Text"/>
        <w:numPr>
          <w:ilvl w:val="0"/>
          <w:numId w:val="9"/>
        </w:numPr>
        <w:jc w:val="both"/>
      </w:pPr>
      <w:r>
        <w:t>Product names with spelling inconsistencies or rare misspellings were treated as standard (regular-size) variants when their observed price per unit aligned with regular pack pricing, to avoid creating artificial categories driven by data entry errors.</w:t>
      </w:r>
    </w:p>
    <w:p w14:paraId="4344666A" w14:textId="77777777" w:rsidR="007213EA" w:rsidRDefault="007213EA" w:rsidP="007213EA">
      <w:pPr>
        <w:pStyle w:val="Text"/>
        <w:numPr>
          <w:ilvl w:val="0"/>
          <w:numId w:val="9"/>
        </w:numPr>
        <w:jc w:val="both"/>
      </w:pPr>
      <w:r>
        <w:t xml:space="preserve">After data cleaning, the dataset is assumed to provide a reasonable representation of consumer purchasing </w:t>
      </w:r>
      <w:proofErr w:type="spellStart"/>
      <w:r>
        <w:t>behavior</w:t>
      </w:r>
      <w:proofErr w:type="spellEnd"/>
      <w:r>
        <w:t xml:space="preserve"> for the purpose of this analysis.</w:t>
      </w:r>
    </w:p>
    <w:p w14:paraId="75ADADE0" w14:textId="6DDC9B72" w:rsidR="007213EA" w:rsidRDefault="007213EA" w:rsidP="007213EA">
      <w:pPr>
        <w:pStyle w:val="Text"/>
        <w:numPr>
          <w:ilvl w:val="0"/>
          <w:numId w:val="9"/>
        </w:numPr>
        <w:jc w:val="both"/>
      </w:pPr>
      <w:r>
        <w:lastRenderedPageBreak/>
        <w:t xml:space="preserve">The product </w:t>
      </w:r>
      <w:proofErr w:type="spellStart"/>
      <w:r>
        <w:t>labeled</w:t>
      </w:r>
      <w:proofErr w:type="spellEnd"/>
      <w:r>
        <w:t xml:space="preserve"> “</w:t>
      </w:r>
      <w:proofErr w:type="spellStart"/>
      <w:r>
        <w:t>Effervence</w:t>
      </w:r>
      <w:proofErr w:type="spellEnd"/>
      <w:r>
        <w:t>” was treated as “Effervesce Classic,” as its price per unit matched the Classic variant, indicating a naming inconsistency rather than a distinct product.</w:t>
      </w:r>
    </w:p>
    <w:p w14:paraId="140B9423" w14:textId="234F002D" w:rsidR="007213EA" w:rsidRDefault="007213EA" w:rsidP="007213EA">
      <w:pPr>
        <w:pStyle w:val="Text"/>
        <w:numPr>
          <w:ilvl w:val="0"/>
          <w:numId w:val="9"/>
        </w:numPr>
        <w:jc w:val="both"/>
      </w:pPr>
      <w:r>
        <w:t>For pack-size analysis, two pack sizes were considered: lower-priced packs were classified as “Regular,” while higher-priced packs were classified as “Large,” based on relative price per unit rather than explicit size labels.</w:t>
      </w:r>
    </w:p>
    <w:p w14:paraId="538C3D2F" w14:textId="7CFFFBF8" w:rsidR="007213EA" w:rsidRDefault="007213EA" w:rsidP="007213EA">
      <w:pPr>
        <w:pStyle w:val="Text"/>
        <w:numPr>
          <w:ilvl w:val="0"/>
          <w:numId w:val="9"/>
        </w:numPr>
        <w:jc w:val="both"/>
      </w:pPr>
      <w:r>
        <w:t xml:space="preserve">Consumer segments created using demographic and </w:t>
      </w:r>
      <w:proofErr w:type="spellStart"/>
      <w:r>
        <w:t>behavioral</w:t>
      </w:r>
      <w:proofErr w:type="spellEnd"/>
      <w:r>
        <w:t xml:space="preserve"> variables are assumed to remain consistent across the time periods </w:t>
      </w:r>
      <w:proofErr w:type="spellStart"/>
      <w:r>
        <w:t>analyzed</w:t>
      </w:r>
      <w:proofErr w:type="spellEnd"/>
      <w:r>
        <w:t>.</w:t>
      </w:r>
    </w:p>
    <w:p w14:paraId="099A84DE" w14:textId="3AD6B9D9" w:rsidR="007213EA" w:rsidRDefault="007213EA" w:rsidP="007213EA">
      <w:pPr>
        <w:pStyle w:val="Text"/>
        <w:numPr>
          <w:ilvl w:val="0"/>
          <w:numId w:val="9"/>
        </w:numPr>
        <w:jc w:val="both"/>
      </w:pPr>
      <w:r>
        <w:t>Changes in market share observed across consumer segments are interpreted as signals of consumer switching or churn over the analysis period.</w:t>
      </w:r>
    </w:p>
    <w:p w14:paraId="652412C6" w14:textId="201A4245" w:rsidR="007213EA" w:rsidRDefault="007213EA" w:rsidP="007213EA">
      <w:pPr>
        <w:pStyle w:val="Text"/>
        <w:numPr>
          <w:ilvl w:val="0"/>
          <w:numId w:val="9"/>
        </w:numPr>
        <w:jc w:val="both"/>
      </w:pPr>
      <w:r>
        <w:t xml:space="preserve">Churn is defined as a decline in market share for a given brand or segment that corresponds with a share increase elsewhere in the category, indicating switching </w:t>
      </w:r>
      <w:proofErr w:type="spellStart"/>
      <w:r>
        <w:t>behavior</w:t>
      </w:r>
      <w:proofErr w:type="spellEnd"/>
      <w:r>
        <w:t xml:space="preserve"> rather than overall category contraction.</w:t>
      </w:r>
    </w:p>
    <w:p w14:paraId="44256182" w14:textId="78CD381D" w:rsidR="0002720A" w:rsidRPr="0002720A" w:rsidRDefault="007213EA" w:rsidP="007213EA">
      <w:pPr>
        <w:pStyle w:val="Text"/>
        <w:numPr>
          <w:ilvl w:val="0"/>
          <w:numId w:val="9"/>
        </w:numPr>
        <w:jc w:val="both"/>
      </w:pPr>
      <w:r>
        <w:t xml:space="preserve">Competitive impact is evaluated primarily with respect to Zest-Bio, as it is the key challenger highlighted in the case and the only competitor explicitly </w:t>
      </w:r>
      <w:proofErr w:type="spellStart"/>
      <w:r>
        <w:t>analyzed</w:t>
      </w:r>
      <w:proofErr w:type="spellEnd"/>
      <w:r>
        <w:t xml:space="preserve"> in the dataset.</w:t>
      </w:r>
    </w:p>
    <w:p w14:paraId="09E8323C" w14:textId="77777777" w:rsidR="0002720A" w:rsidRPr="0002720A" w:rsidRDefault="0002720A" w:rsidP="0002720A">
      <w:pPr>
        <w:pStyle w:val="Text"/>
      </w:pPr>
    </w:p>
    <w:p w14:paraId="76C12AA2" w14:textId="2B28ED97" w:rsidR="00764768" w:rsidRPr="00764768" w:rsidRDefault="00764768" w:rsidP="00764768">
      <w:pPr>
        <w:pStyle w:val="Heading2"/>
        <w:numPr>
          <w:ilvl w:val="0"/>
          <w:numId w:val="2"/>
        </w:numPr>
        <w:rPr>
          <w:rFonts w:cs="Times New Roman"/>
          <w:sz w:val="28"/>
          <w:szCs w:val="28"/>
        </w:rPr>
      </w:pPr>
      <w:r w:rsidRPr="00764768">
        <w:rPr>
          <w:rFonts w:cs="Times New Roman"/>
          <w:sz w:val="28"/>
          <w:szCs w:val="28"/>
        </w:rPr>
        <w:t>Conclusion</w:t>
      </w:r>
    </w:p>
    <w:p w14:paraId="42EDEE69" w14:textId="091B63E2" w:rsidR="006F6855" w:rsidRDefault="006F6855" w:rsidP="006F6855">
      <w:pPr>
        <w:pStyle w:val="Text"/>
        <w:jc w:val="both"/>
      </w:pPr>
      <w:proofErr w:type="spellStart"/>
      <w:r>
        <w:t>Effervesce’s</w:t>
      </w:r>
      <w:proofErr w:type="spellEnd"/>
      <w:r>
        <w:t xml:space="preserve"> challenges are not just the result of a weak campaign or short-term competitive pressure — they reflect a fundamental change in what consumers want from beverages. The brand is steadily losing health-conscious, Millennial, premium, and previously loyal shoppers, showing that the market is shifting away from traditional soda appeal toward products that feel more aligned with wellness and modern lifestyles. </w:t>
      </w:r>
    </w:p>
    <w:p w14:paraId="7538222D" w14:textId="7AD3911E" w:rsidR="006F6855" w:rsidRDefault="006F6855" w:rsidP="006F6855">
      <w:pPr>
        <w:pStyle w:val="Text"/>
        <w:jc w:val="both"/>
      </w:pPr>
      <w:r>
        <w:t xml:space="preserve">Simply increasing promotions or leaning into nostalgia would treat the symptoms, not the cause. Consumers are not leaving because Effervesce feels old — they are leaving because competitors are offering clear functional and health-related value that Effervesce currently does not. The competitive battlefield has moved from emotional branding alone to benefit-driven relevance. </w:t>
      </w:r>
    </w:p>
    <w:p w14:paraId="0776C3CE" w14:textId="058406CC" w:rsidR="0002720A" w:rsidRDefault="006F6855" w:rsidP="006F6855">
      <w:pPr>
        <w:pStyle w:val="Text"/>
        <w:jc w:val="both"/>
      </w:pPr>
      <w:r>
        <w:t>To stay competitive, Aurora must let Effervesce evolve. By introducing functional innovation and positioning the brand as a wellness-compatible refreshment, Aurora can win back high-value consumers, justify premium pricing, and secure a role in the future of the category. In short, adapting to this shift is not just a growth opportunity — it is essential for keeping Effervesce relevant in a changing market.</w:t>
      </w:r>
    </w:p>
    <w:p w14:paraId="7AAB017C" w14:textId="77777777" w:rsidR="00764768" w:rsidRPr="00764768" w:rsidRDefault="00764768" w:rsidP="0002720A">
      <w:pPr>
        <w:pStyle w:val="Text"/>
      </w:pPr>
    </w:p>
    <w:p w14:paraId="26F5185F" w14:textId="77777777" w:rsidR="00545F88" w:rsidRDefault="00545F88" w:rsidP="0002720A">
      <w:pPr>
        <w:pStyle w:val="Text"/>
      </w:pPr>
    </w:p>
    <w:sectPr w:rsidR="00545F88" w:rsidSect="0006143B">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6C44" w14:textId="77777777" w:rsidR="00722B0D" w:rsidRDefault="00722B0D" w:rsidP="00541D69">
      <w:pPr>
        <w:spacing w:after="0" w:line="240" w:lineRule="auto"/>
      </w:pPr>
      <w:r>
        <w:separator/>
      </w:r>
    </w:p>
  </w:endnote>
  <w:endnote w:type="continuationSeparator" w:id="0">
    <w:p w14:paraId="11A5A24F" w14:textId="77777777" w:rsidR="00722B0D" w:rsidRDefault="00722B0D" w:rsidP="00541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0E13" w14:textId="24A96904" w:rsidR="00541D69" w:rsidRPr="00541D69" w:rsidRDefault="00BE262B" w:rsidP="00541D69">
    <w:pPr>
      <w:pStyle w:val="Footer"/>
      <w:ind w:left="5760"/>
      <w:jc w:val="right"/>
      <w:rPr>
        <w:rFonts w:ascii="Times New Roman" w:hAnsi="Times New Roman" w:cs="Times New Roman"/>
        <w:sz w:val="24"/>
        <w:szCs w:val="24"/>
        <w:lang w:val="en-US"/>
      </w:rPr>
    </w:pPr>
    <w:r>
      <w:rPr>
        <w:rFonts w:ascii="Times New Roman" w:hAnsi="Times New Roman" w:cs="Times New Roman"/>
        <w:sz w:val="24"/>
        <w:szCs w:val="24"/>
        <w:lang w:val="en-US"/>
      </w:rPr>
      <w:tab/>
    </w:r>
    <w:r w:rsidR="00541D69" w:rsidRPr="00541D69">
      <w:rPr>
        <w:rFonts w:ascii="Times New Roman" w:hAnsi="Times New Roman" w:cs="Times New Roman"/>
        <w:sz w:val="24"/>
        <w:szCs w:val="24"/>
        <w:lang w:val="en-US"/>
      </w:rPr>
      <w:t>TEAM HACKTACULAR</w:t>
    </w:r>
    <w:r w:rsidR="00541D69" w:rsidRPr="00541D69">
      <w:rPr>
        <w:rFonts w:ascii="Times New Roman" w:hAnsi="Times New Roman" w:cs="Times New Roman"/>
        <w:sz w:val="24"/>
        <w:szCs w:val="24"/>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D678" w14:textId="77777777" w:rsidR="00722B0D" w:rsidRDefault="00722B0D" w:rsidP="00541D69">
      <w:pPr>
        <w:spacing w:after="0" w:line="240" w:lineRule="auto"/>
      </w:pPr>
      <w:r>
        <w:separator/>
      </w:r>
    </w:p>
  </w:footnote>
  <w:footnote w:type="continuationSeparator" w:id="0">
    <w:p w14:paraId="4C313636" w14:textId="77777777" w:rsidR="00722B0D" w:rsidRDefault="00722B0D" w:rsidP="00541D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5B4"/>
    <w:multiLevelType w:val="hybridMultilevel"/>
    <w:tmpl w:val="3474CB66"/>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17561E"/>
    <w:multiLevelType w:val="multilevel"/>
    <w:tmpl w:val="10B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3BF6"/>
    <w:multiLevelType w:val="multilevel"/>
    <w:tmpl w:val="3D3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168D9"/>
    <w:multiLevelType w:val="hybridMultilevel"/>
    <w:tmpl w:val="8702D0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5394FA4"/>
    <w:multiLevelType w:val="multilevel"/>
    <w:tmpl w:val="3F18C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B507ABD"/>
    <w:multiLevelType w:val="multilevel"/>
    <w:tmpl w:val="C91AA1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862366"/>
    <w:multiLevelType w:val="multilevel"/>
    <w:tmpl w:val="4D30B2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88E15C8"/>
    <w:multiLevelType w:val="multilevel"/>
    <w:tmpl w:val="7CC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F45A0"/>
    <w:multiLevelType w:val="multilevel"/>
    <w:tmpl w:val="B8366B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5EF1C01"/>
    <w:multiLevelType w:val="hybridMultilevel"/>
    <w:tmpl w:val="F81C06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1D51EED"/>
    <w:multiLevelType w:val="multilevel"/>
    <w:tmpl w:val="5EDC8D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6824EFE"/>
    <w:multiLevelType w:val="multilevel"/>
    <w:tmpl w:val="5742EA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AAC06FD"/>
    <w:multiLevelType w:val="multilevel"/>
    <w:tmpl w:val="76D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E6D35"/>
    <w:multiLevelType w:val="multilevel"/>
    <w:tmpl w:val="8F1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B6634"/>
    <w:multiLevelType w:val="hybridMultilevel"/>
    <w:tmpl w:val="2E304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EBA7F64"/>
    <w:multiLevelType w:val="multilevel"/>
    <w:tmpl w:val="D4B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979883">
    <w:abstractNumId w:val="13"/>
  </w:num>
  <w:num w:numId="2" w16cid:durableId="1407730280">
    <w:abstractNumId w:val="9"/>
  </w:num>
  <w:num w:numId="3" w16cid:durableId="104931703">
    <w:abstractNumId w:val="0"/>
  </w:num>
  <w:num w:numId="4" w16cid:durableId="1541437735">
    <w:abstractNumId w:val="7"/>
  </w:num>
  <w:num w:numId="5" w16cid:durableId="455875475">
    <w:abstractNumId w:val="14"/>
  </w:num>
  <w:num w:numId="6" w16cid:durableId="258027432">
    <w:abstractNumId w:val="8"/>
  </w:num>
  <w:num w:numId="7" w16cid:durableId="1075977811">
    <w:abstractNumId w:val="3"/>
  </w:num>
  <w:num w:numId="8" w16cid:durableId="74132930">
    <w:abstractNumId w:val="12"/>
  </w:num>
  <w:num w:numId="9" w16cid:durableId="1964381398">
    <w:abstractNumId w:val="5"/>
  </w:num>
  <w:num w:numId="10" w16cid:durableId="1991321526">
    <w:abstractNumId w:val="4"/>
  </w:num>
  <w:num w:numId="11" w16cid:durableId="737477750">
    <w:abstractNumId w:val="1"/>
  </w:num>
  <w:num w:numId="12" w16cid:durableId="688720621">
    <w:abstractNumId w:val="2"/>
  </w:num>
  <w:num w:numId="13" w16cid:durableId="75826542">
    <w:abstractNumId w:val="10"/>
  </w:num>
  <w:num w:numId="14" w16cid:durableId="1618219454">
    <w:abstractNumId w:val="15"/>
  </w:num>
  <w:num w:numId="15" w16cid:durableId="779840069">
    <w:abstractNumId w:val="11"/>
  </w:num>
  <w:num w:numId="16" w16cid:durableId="297762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68"/>
    <w:rsid w:val="0002720A"/>
    <w:rsid w:val="0006143B"/>
    <w:rsid w:val="00091B37"/>
    <w:rsid w:val="000B592F"/>
    <w:rsid w:val="00126409"/>
    <w:rsid w:val="0014322D"/>
    <w:rsid w:val="002E4549"/>
    <w:rsid w:val="0041259E"/>
    <w:rsid w:val="0046755B"/>
    <w:rsid w:val="00505EC9"/>
    <w:rsid w:val="00541D69"/>
    <w:rsid w:val="00545F88"/>
    <w:rsid w:val="00595D69"/>
    <w:rsid w:val="005E409F"/>
    <w:rsid w:val="0060262E"/>
    <w:rsid w:val="006F6855"/>
    <w:rsid w:val="007213EA"/>
    <w:rsid w:val="00722B0D"/>
    <w:rsid w:val="007436F1"/>
    <w:rsid w:val="00764768"/>
    <w:rsid w:val="00802E51"/>
    <w:rsid w:val="0084440C"/>
    <w:rsid w:val="00911E41"/>
    <w:rsid w:val="00995921"/>
    <w:rsid w:val="00996DE5"/>
    <w:rsid w:val="009F3F26"/>
    <w:rsid w:val="00A21B69"/>
    <w:rsid w:val="00B36F80"/>
    <w:rsid w:val="00B55611"/>
    <w:rsid w:val="00B81C6E"/>
    <w:rsid w:val="00BD45F3"/>
    <w:rsid w:val="00BE262B"/>
    <w:rsid w:val="00BE5337"/>
    <w:rsid w:val="00C6162D"/>
    <w:rsid w:val="00C76D40"/>
    <w:rsid w:val="00D60548"/>
    <w:rsid w:val="00E75A26"/>
    <w:rsid w:val="00EA7CD0"/>
    <w:rsid w:val="00EE21C3"/>
    <w:rsid w:val="00F369C0"/>
    <w:rsid w:val="00F97051"/>
    <w:rsid w:val="00FB5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285F"/>
  <w15:chartTrackingRefBased/>
  <w15:docId w15:val="{0B4B2F4D-7EE8-4C6C-85DF-2481EDA92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1C6E"/>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764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1C6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764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768"/>
    <w:rPr>
      <w:rFonts w:eastAsiaTheme="majorEastAsia" w:cstheme="majorBidi"/>
      <w:color w:val="272727" w:themeColor="text1" w:themeTint="D8"/>
    </w:rPr>
  </w:style>
  <w:style w:type="paragraph" w:styleId="Title">
    <w:name w:val="Title"/>
    <w:basedOn w:val="Normal"/>
    <w:next w:val="Normal"/>
    <w:link w:val="TitleChar"/>
    <w:uiPriority w:val="10"/>
    <w:qFormat/>
    <w:rsid w:val="0076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768"/>
    <w:pPr>
      <w:spacing w:before="160"/>
      <w:jc w:val="center"/>
    </w:pPr>
    <w:rPr>
      <w:i/>
      <w:iCs/>
      <w:color w:val="404040" w:themeColor="text1" w:themeTint="BF"/>
    </w:rPr>
  </w:style>
  <w:style w:type="character" w:customStyle="1" w:styleId="QuoteChar">
    <w:name w:val="Quote Char"/>
    <w:basedOn w:val="DefaultParagraphFont"/>
    <w:link w:val="Quote"/>
    <w:uiPriority w:val="29"/>
    <w:rsid w:val="00764768"/>
    <w:rPr>
      <w:i/>
      <w:iCs/>
      <w:color w:val="404040" w:themeColor="text1" w:themeTint="BF"/>
    </w:rPr>
  </w:style>
  <w:style w:type="paragraph" w:styleId="ListParagraph">
    <w:name w:val="List Paragraph"/>
    <w:basedOn w:val="Normal"/>
    <w:uiPriority w:val="34"/>
    <w:qFormat/>
    <w:rsid w:val="00764768"/>
    <w:pPr>
      <w:ind w:left="720"/>
      <w:contextualSpacing/>
    </w:pPr>
  </w:style>
  <w:style w:type="character" w:styleId="IntenseEmphasis">
    <w:name w:val="Intense Emphasis"/>
    <w:basedOn w:val="DefaultParagraphFont"/>
    <w:uiPriority w:val="21"/>
    <w:qFormat/>
    <w:rsid w:val="00764768"/>
    <w:rPr>
      <w:i/>
      <w:iCs/>
      <w:color w:val="2F5496" w:themeColor="accent1" w:themeShade="BF"/>
    </w:rPr>
  </w:style>
  <w:style w:type="paragraph" w:styleId="IntenseQuote">
    <w:name w:val="Intense Quote"/>
    <w:basedOn w:val="Normal"/>
    <w:next w:val="Normal"/>
    <w:link w:val="IntenseQuoteChar"/>
    <w:uiPriority w:val="30"/>
    <w:qFormat/>
    <w:rsid w:val="00764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768"/>
    <w:rPr>
      <w:i/>
      <w:iCs/>
      <w:color w:val="2F5496" w:themeColor="accent1" w:themeShade="BF"/>
    </w:rPr>
  </w:style>
  <w:style w:type="character" w:styleId="IntenseReference">
    <w:name w:val="Intense Reference"/>
    <w:basedOn w:val="DefaultParagraphFont"/>
    <w:uiPriority w:val="32"/>
    <w:qFormat/>
    <w:rsid w:val="00764768"/>
    <w:rPr>
      <w:b/>
      <w:bCs/>
      <w:smallCaps/>
      <w:color w:val="2F5496" w:themeColor="accent1" w:themeShade="BF"/>
      <w:spacing w:val="5"/>
    </w:rPr>
  </w:style>
  <w:style w:type="character" w:styleId="Hyperlink">
    <w:name w:val="Hyperlink"/>
    <w:basedOn w:val="DefaultParagraphFont"/>
    <w:uiPriority w:val="99"/>
    <w:unhideWhenUsed/>
    <w:rsid w:val="00764768"/>
    <w:rPr>
      <w:color w:val="0563C1" w:themeColor="hyperlink"/>
      <w:u w:val="single"/>
    </w:rPr>
  </w:style>
  <w:style w:type="character" w:styleId="UnresolvedMention">
    <w:name w:val="Unresolved Mention"/>
    <w:basedOn w:val="DefaultParagraphFont"/>
    <w:uiPriority w:val="99"/>
    <w:semiHidden/>
    <w:unhideWhenUsed/>
    <w:rsid w:val="00764768"/>
    <w:rPr>
      <w:color w:val="605E5C"/>
      <w:shd w:val="clear" w:color="auto" w:fill="E1DFDD"/>
    </w:rPr>
  </w:style>
  <w:style w:type="paragraph" w:customStyle="1" w:styleId="Text">
    <w:name w:val="Text"/>
    <w:basedOn w:val="Normal"/>
    <w:link w:val="TextChar"/>
    <w:qFormat/>
    <w:rsid w:val="00764768"/>
    <w:pPr>
      <w:ind w:left="720"/>
    </w:pPr>
    <w:rPr>
      <w:rFonts w:ascii="Times New Roman" w:hAnsi="Times New Roman" w:cs="Times New Roman"/>
      <w:sz w:val="24"/>
      <w:szCs w:val="24"/>
    </w:rPr>
  </w:style>
  <w:style w:type="character" w:customStyle="1" w:styleId="TextChar">
    <w:name w:val="Text Char"/>
    <w:basedOn w:val="DefaultParagraphFont"/>
    <w:link w:val="Text"/>
    <w:rsid w:val="00764768"/>
    <w:rPr>
      <w:rFonts w:ascii="Times New Roman" w:hAnsi="Times New Roman" w:cs="Times New Roman"/>
      <w:sz w:val="24"/>
      <w:szCs w:val="24"/>
    </w:rPr>
  </w:style>
  <w:style w:type="table" w:styleId="TableGrid">
    <w:name w:val="Table Grid"/>
    <w:basedOn w:val="TableNormal"/>
    <w:uiPriority w:val="39"/>
    <w:rsid w:val="00802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14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6143B"/>
    <w:rPr>
      <w:b/>
      <w:bCs/>
    </w:rPr>
  </w:style>
  <w:style w:type="paragraph" w:styleId="Header">
    <w:name w:val="header"/>
    <w:basedOn w:val="Normal"/>
    <w:link w:val="HeaderChar"/>
    <w:uiPriority w:val="99"/>
    <w:unhideWhenUsed/>
    <w:rsid w:val="00541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D69"/>
  </w:style>
  <w:style w:type="paragraph" w:styleId="Footer">
    <w:name w:val="footer"/>
    <w:basedOn w:val="Normal"/>
    <w:link w:val="FooterChar"/>
    <w:uiPriority w:val="99"/>
    <w:unhideWhenUsed/>
    <w:rsid w:val="00541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60CED-E08B-4AE9-B2AF-9A98EA858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7</Pages>
  <Words>2406</Words>
  <Characters>13717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Rathod</dc:creator>
  <cp:keywords/>
  <dc:description/>
  <cp:lastModifiedBy>Charvi Rathod</cp:lastModifiedBy>
  <cp:revision>44</cp:revision>
  <dcterms:created xsi:type="dcterms:W3CDTF">2026-02-05T07:59:00Z</dcterms:created>
  <dcterms:modified xsi:type="dcterms:W3CDTF">2026-02-06T01:34:00Z</dcterms:modified>
</cp:coreProperties>
</file>