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DEB" w:rsidRDefault="0043072C">
      <w:pPr>
        <w:pStyle w:val="BodyText"/>
        <w:rPr>
          <w:i w:val="0"/>
          <w:iCs/>
        </w:rPr>
      </w:pPr>
      <w:r>
        <w:rPr>
          <w:i w:val="0"/>
          <w:iCs/>
        </w:rPr>
        <w:t xml:space="preserve">Molecular Dynamics Simulations </w:t>
      </w:r>
      <w:proofErr w:type="gramStart"/>
      <w:r>
        <w:rPr>
          <w:i w:val="0"/>
          <w:iCs/>
        </w:rPr>
        <w:t>Beyond</w:t>
      </w:r>
      <w:proofErr w:type="gramEnd"/>
      <w:r>
        <w:rPr>
          <w:i w:val="0"/>
          <w:iCs/>
        </w:rPr>
        <w:t xml:space="preserve"> the Lennard-Jones Particles</w:t>
      </w:r>
    </w:p>
    <w:p w:rsidR="00C90DEB" w:rsidRDefault="0043072C">
      <w:pPr>
        <w:pStyle w:val="BodyText3"/>
        <w:ind w:right="-180"/>
        <w:rPr>
          <w:rFonts w:ascii="Book Antiqua" w:hAnsi="Book Antiqua"/>
        </w:rPr>
      </w:pPr>
      <w:r>
        <w:rPr>
          <w:rFonts w:ascii="Book Antiqua" w:hAnsi="Book Antiqua"/>
        </w:rPr>
        <w:t xml:space="preserve">                                                                                                       </w:t>
      </w:r>
    </w:p>
    <w:p w:rsidR="00C90DEB" w:rsidRDefault="0043072C">
      <w:pPr>
        <w:pStyle w:val="BodyText3"/>
        <w:ind w:right="-180"/>
        <w:rPr>
          <w:rFonts w:ascii="Book Antiqua" w:hAnsi="Book Antiqua"/>
          <w:i/>
          <w:iCs/>
          <w:sz w:val="22"/>
        </w:rPr>
      </w:pPr>
      <w:r>
        <w:rPr>
          <w:rFonts w:ascii="Book Antiqua" w:hAnsi="Book Antiqua"/>
          <w:i/>
          <w:iCs/>
          <w:sz w:val="22"/>
        </w:rPr>
        <w:t>Charles Xie</w:t>
      </w:r>
    </w:p>
    <w:p w:rsidR="00C90DEB" w:rsidRDefault="0043072C">
      <w:pPr>
        <w:pStyle w:val="BodyText3"/>
        <w:ind w:right="-180"/>
        <w:rPr>
          <w:rFonts w:ascii="Book Antiqua" w:hAnsi="Book Antiqua"/>
          <w:i/>
          <w:iCs/>
          <w:sz w:val="22"/>
        </w:rPr>
      </w:pPr>
      <w:r>
        <w:rPr>
          <w:rFonts w:ascii="Book Antiqua" w:hAnsi="Book Antiqua"/>
          <w:i/>
          <w:iCs/>
          <w:sz w:val="22"/>
        </w:rPr>
        <w:t xml:space="preserve">The </w:t>
      </w:r>
      <w:r w:rsidR="000802D0">
        <w:rPr>
          <w:rFonts w:ascii="Book Antiqua" w:hAnsi="Book Antiqua"/>
          <w:i/>
          <w:iCs/>
          <w:sz w:val="22"/>
        </w:rPr>
        <w:t xml:space="preserve">Intelligent Learning Technology </w:t>
      </w:r>
      <w:r>
        <w:rPr>
          <w:rFonts w:ascii="Book Antiqua" w:hAnsi="Book Antiqua"/>
          <w:i/>
          <w:iCs/>
          <w:sz w:val="22"/>
        </w:rPr>
        <w:t>Laboratory</w:t>
      </w:r>
    </w:p>
    <w:p w:rsidR="00C90DEB" w:rsidRDefault="0043072C">
      <w:pPr>
        <w:pStyle w:val="BodyText3"/>
        <w:ind w:right="-180"/>
        <w:rPr>
          <w:rFonts w:ascii="Book Antiqua" w:hAnsi="Book Antiqua"/>
          <w:i/>
          <w:iCs/>
          <w:sz w:val="24"/>
        </w:rPr>
      </w:pPr>
      <w:r>
        <w:rPr>
          <w:rFonts w:ascii="Book Antiqua" w:hAnsi="Book Antiqua"/>
          <w:i/>
          <w:iCs/>
          <w:sz w:val="22"/>
        </w:rPr>
        <w:t>The Concord Consortium, 25 Love Lane, Concord, MA 01742</w:t>
      </w:r>
    </w:p>
    <w:p w:rsidR="00C90DEB" w:rsidRDefault="00C90DEB">
      <w:pPr>
        <w:pStyle w:val="BodyText3"/>
        <w:ind w:right="-180"/>
        <w:rPr>
          <w:rFonts w:ascii="Book Antiqua" w:hAnsi="Book Antiqua"/>
          <w:sz w:val="24"/>
        </w:rPr>
      </w:pPr>
    </w:p>
    <w:p w:rsidR="00C90DEB" w:rsidRDefault="0043072C">
      <w:pPr>
        <w:pStyle w:val="BodyText3"/>
        <w:ind w:right="-180"/>
        <w:rPr>
          <w:rFonts w:ascii="Book Antiqua" w:hAnsi="Book Antiqua"/>
        </w:rPr>
      </w:pPr>
      <w:r>
        <w:rPr>
          <w:rFonts w:ascii="Book Antiqua" w:hAnsi="Book Antiqua"/>
        </w:rPr>
        <w:t>The computational power of computers available to students has increased to the point that it is now feasible to build interactive molecular dynamics (MD) simulations that can be used in education [1]. Observing important physical processes, such as diffusion, phase transitions, self-assembly, chemical reactions and so on, emerging from the time evolution of an atomic-scale model was found useful in helping learners build intuitive, coherent, and predictive mental models of these phenomena [2, 3].</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The increasing speed of computers, however, does not automatically remove all the obstacles for building interactive computational models for use in teaching more complicated subjects such as molecular biology, which need more resources to smoothen the learning curve. The structural complexity of many macromolecules constitutes a major obstacle. An accurate atomistic MD simulation of complex macromolecules based on the all-atom force fields according to molecular mechanics [4] requires time-consuming computations. Such simulations may not, however, necessarily result in visualization evident to students. Many students have difficulties in telling what is important and what is not from a complicated three-dimensional structural view full of atoms and bonds (e.g. in a ball-and-stick representation). Because of this, “cartoon” views, which show a macromolecule as a single object in a certain shape or a conjunction of a few objects in simple shapes, are commonly used in textbooks. The “cartoon” representation hides the internal details of a macromolecule that are unimportant to its function, but highlights the most important parts (often the surfaces where functions are performed, or the backbones of secondary or tertiary structures that consequently govern functions) in such a clear way that a comprehensible picture of complex systems can therefore be delivered.</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It has to be pointed out that such a “</w:t>
      </w:r>
      <w:proofErr w:type="spellStart"/>
      <w:r>
        <w:rPr>
          <w:rFonts w:ascii="Book Antiqua" w:hAnsi="Book Antiqua"/>
        </w:rPr>
        <w:t>cartoonization</w:t>
      </w:r>
      <w:proofErr w:type="spellEnd"/>
      <w:r>
        <w:rPr>
          <w:rFonts w:ascii="Book Antiqua" w:hAnsi="Book Antiqua"/>
        </w:rPr>
        <w:t>” method has been widely used in molecular graphics software for visualizing secondary and tertiary structures (e.g. the ribbon, tube, Greek key, and surface representations available in most molecular visualization tools). But most molecular graphics tools currently only visualize a recorded MD simulation. When creating an animation, the tools continuously generate “cartoon” views, on a frame-by-frame basis, using the pre-computed atomic coordinates as inputs. The fact that the creation of a “cartoon MD movie” for large biomolecular systems using such a method usually takes a long time to prepare prevents the method from being practically used to build interactive MD models for classroom use, which demands concurrent real-time computing and visualization on the intended computers so that the system can respond instantly to user’s inputs and the responses can be immediately seen.</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Because of this difficulty, many animations are created schematically without using rigorous calculations of forces and trajectories to generate the motion, especially at the level of quaternary structures where the number of atoms involved beats the limit of computers. These animations usually use “cartoon” objects to represent macromolecules, but do not actually generate the “movie” based on force calculation of any kind for the objects. This is presumably because computing forces and motion of “cartoon” objects requires using potential energy model for objects in arbitrary shapes, which has not been reported in literature. The only program we know that is capable of handling arbitrary shapes is Interactive Physics [5], but it was not created for performing molecular simulations for biomolecular systems, which are quite different from Newtonian dynamics simulations of rigid bodies.</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To introduce objects in arbitrary shapes to MD simulations, mathematical models for the interaction potentials among them must be developed. In order to show important biochemical and biophysical processes such as ligand binding, docking and enzymatic reactions, these potentials must be locally sticky in certain conditions to certain objects, so that active sites can be modeled. Furthermore, they must be able to produce as many varieties of structure as possible, so as to meet the needs of modeling biomolecular systems that have far more complex structural patterns than solids and liquids.</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 xml:space="preserve">A well-known model of interaction is the Lennard-Jones potential [6], which, however, applies to only spherical objects without intrinsic rotational degree of freedom. Gay and Berne proposed a potential function that can be applied to elliptic objects [7], which is mainly used in simulating </w:t>
      </w:r>
      <w:proofErr w:type="spellStart"/>
      <w:r>
        <w:rPr>
          <w:rFonts w:ascii="Book Antiqua" w:hAnsi="Book Antiqua"/>
        </w:rPr>
        <w:t>mesogenic</w:t>
      </w:r>
      <w:proofErr w:type="spellEnd"/>
      <w:r>
        <w:rPr>
          <w:rFonts w:ascii="Book Antiqua" w:hAnsi="Book Antiqua"/>
        </w:rPr>
        <w:t xml:space="preserve"> systems such as liquid crystals and less known by educators.</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This paper first reviews some applications of Lennard-Jones potential in modeling condensed matter, and then introduces our modified Gay-Berne model and its applications to building educational models. Finally, we present our work about modeling soft objects in arbitrary shapes and discuss about their applications to molecular biology education.</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b/>
          <w:bCs/>
          <w:sz w:val="24"/>
        </w:rPr>
      </w:pPr>
      <w:r>
        <w:rPr>
          <w:rFonts w:ascii="Book Antiqua" w:hAnsi="Book Antiqua"/>
          <w:b/>
          <w:bCs/>
          <w:sz w:val="24"/>
        </w:rPr>
        <w:t>From the hard-sphere model to the Lennard-Jones model</w:t>
      </w:r>
    </w:p>
    <w:p w:rsidR="00C90DEB" w:rsidRDefault="00C90DEB">
      <w:pPr>
        <w:pStyle w:val="BodyText3"/>
        <w:ind w:right="-180"/>
        <w:rPr>
          <w:rFonts w:ascii="Book Antiqua" w:hAnsi="Book Antiqua"/>
          <w:b/>
          <w:bCs/>
          <w:sz w:val="24"/>
        </w:rPr>
      </w:pPr>
    </w:p>
    <w:p w:rsidR="00C90DEB" w:rsidRDefault="0043072C">
      <w:pPr>
        <w:pStyle w:val="BodyText3"/>
        <w:ind w:right="-180"/>
        <w:rPr>
          <w:rFonts w:ascii="Book Antiqua" w:hAnsi="Book Antiqua"/>
        </w:rPr>
      </w:pPr>
      <w:r>
        <w:rPr>
          <w:rFonts w:ascii="Book Antiqua" w:hAnsi="Book Antiqua"/>
        </w:rPr>
        <w:t xml:space="preserve">Educators have been interested in MD software since microcomputers were first available. Early efforts used a hard-sphere model that could reproduce ideal gas behavior remarkably well [8-10]. More recently, the programming language </w:t>
      </w:r>
      <w:proofErr w:type="spellStart"/>
      <w:r>
        <w:rPr>
          <w:rFonts w:ascii="Book Antiqua" w:hAnsi="Book Antiqua"/>
        </w:rPr>
        <w:t>NetLogo</w:t>
      </w:r>
      <w:proofErr w:type="spellEnd"/>
      <w:r>
        <w:rPr>
          <w:rFonts w:ascii="Book Antiqua" w:hAnsi="Book Antiqua"/>
        </w:rPr>
        <w:t xml:space="preserve"> has been used to give students the ability to create their own models of ideal gases [11]. These models cannot simulate liquids or solids because they lack any attractive forces among atoms, although they could be easily added to </w:t>
      </w:r>
      <w:proofErr w:type="spellStart"/>
      <w:r>
        <w:rPr>
          <w:rFonts w:ascii="Book Antiqua" w:hAnsi="Book Antiqua"/>
        </w:rPr>
        <w:t>NetLogo</w:t>
      </w:r>
      <w:proofErr w:type="spellEnd"/>
      <w:r>
        <w:rPr>
          <w:rFonts w:ascii="Book Antiqua" w:hAnsi="Book Antiqua"/>
        </w:rPr>
        <w:t xml:space="preserve">. </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 xml:space="preserve">To simulate any condensed state, and most phase transitions, attractive forces between atoms are needed. There are many mathematical models for attractive pair potentials. The most widely used model is the Lennard-Jones (LJ) model [6], but many others have a similar shape (e.g. the Morse potential) and are qualitatively equivalent to the LJ model, in the sense that they all generate repulsive forces when particles get too close and attractive forces otherwise. Two sources of software that are based attractive interatomic forces are available to educators; one is free from Stanley’s group at Boston University [12] and the other from a commercial company [13]. </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LJ particles without charges interact with one another in an isotropic and non-discriminatory manner. As a result, a system consisting of some LJ particles of the same type forms the most closed-pack structure, which is a hexagonal lattice in two-dimension (Fig. 1a), when it solidifies. If a system is composed of LJ particles of distinct types (especially with distinct collision diameters), it usually condenses into amorphous structures (Fig. 1b) from a liquid phase, provided that the potentials between different types are given by some sort of averages of those between the same types, such as the Lorentz-Berthelot mixing rule. When the two different types of particles in Fig. 1b are given strong positive and negative charges respectively, the system crystallizes into a regular square lattice (Fig. 1c). Because of its capacity in simulating a variety of structures, the LJ potential is fairly good for modeling such systems as crystals, amorphous alloys, intermetallic compounds, and ionic compounds (in reality, researchers use improved pair functional models, such as the embedded-atom method [14] that handles more correctly elastic properties and defect formation energies, to simulate these systems).</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 xml:space="preserve">Although the LJ potential is mostly used to model the van der Waals interactions between atoms, it is also regarded as a fair approximation to other systems in which the composing elements attract each other but cannot overlap. For example, it is not uncommon to use the LJ potential to simulate </w:t>
      </w:r>
      <w:proofErr w:type="gramStart"/>
      <w:r>
        <w:rPr>
          <w:rFonts w:ascii="Book Antiqua" w:hAnsi="Book Antiqua"/>
        </w:rPr>
        <w:lastRenderedPageBreak/>
        <w:t>fluid</w:t>
      </w:r>
      <w:proofErr w:type="gramEnd"/>
      <w:r>
        <w:rPr>
          <w:rFonts w:ascii="Book Antiqua" w:hAnsi="Book Antiqua"/>
        </w:rPr>
        <w:t xml:space="preserve"> dynamics such as thermal convection and obstructed flow [15], despite of the fact that almost no fluid molecules of interest actually look like a spherical LJ particle. In this case, the LJ particles can be thought of as such an approximation: the atoms in the molecules shrink to their centers of mass, and the polyatomic molecules become point masses; the LJ potentials between them produce qualitatively the dynamical behavior of the fluid molecules, as long as they keep moving around and the multi-site interactions even out to show no strong </w:t>
      </w:r>
      <w:proofErr w:type="spellStart"/>
      <w:r>
        <w:rPr>
          <w:rFonts w:ascii="Book Antiqua" w:hAnsi="Book Antiqua"/>
        </w:rPr>
        <w:t>orientational</w:t>
      </w:r>
      <w:proofErr w:type="spellEnd"/>
      <w:r>
        <w:rPr>
          <w:rFonts w:ascii="Book Antiqua" w:hAnsi="Book Antiqua"/>
        </w:rPr>
        <w:t xml:space="preserve"> preference in the long range. This approximation is sometimes also used in molecular mechanics to model chemical groups of macromolecules that are not critically important to the simulated processes, for instance a methyl group, and is known by molecular simulators as the united-atom approximation [4].</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 xml:space="preserve">The LJ potential, however, cannot be used to model more complicated phenomena in which the elements of the system interacts with others in an anisotropic and selective matter. Such interactions are usually responsible for the formation of more complicated structures than close-packed lattices. For example, the LJ potential cannot produce the carbon structures of diamond or graphite, because of the strong </w:t>
      </w:r>
      <w:proofErr w:type="spellStart"/>
      <w:r>
        <w:rPr>
          <w:rFonts w:ascii="Book Antiqua" w:hAnsi="Book Antiqua"/>
        </w:rPr>
        <w:t>orientational</w:t>
      </w:r>
      <w:proofErr w:type="spellEnd"/>
      <w:r>
        <w:rPr>
          <w:rFonts w:ascii="Book Antiqua" w:hAnsi="Book Antiqua"/>
        </w:rPr>
        <w:t xml:space="preserve"> dependence of the covalent bonds between carbon atoms. There have been many potential models for addressing the </w:t>
      </w:r>
      <w:proofErr w:type="spellStart"/>
      <w:r>
        <w:rPr>
          <w:rFonts w:ascii="Book Antiqua" w:hAnsi="Book Antiqua"/>
        </w:rPr>
        <w:t>orientational</w:t>
      </w:r>
      <w:proofErr w:type="spellEnd"/>
      <w:r>
        <w:rPr>
          <w:rFonts w:ascii="Book Antiqua" w:hAnsi="Book Antiqua"/>
        </w:rPr>
        <w:t xml:space="preserve"> dependence of interatomic interactions in silicon and carbon materials. Most of them involve introducing angular factors and many-body (i.e. three-body and more) terms to the potential functions [16, 17].</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 xml:space="preserve">A potential that is capable of modeling </w:t>
      </w:r>
      <w:proofErr w:type="spellStart"/>
      <w:r>
        <w:rPr>
          <w:rFonts w:ascii="Book Antiqua" w:hAnsi="Book Antiqua"/>
        </w:rPr>
        <w:t>orientational</w:t>
      </w:r>
      <w:proofErr w:type="spellEnd"/>
      <w:r>
        <w:rPr>
          <w:rFonts w:ascii="Book Antiqua" w:hAnsi="Book Antiqua"/>
        </w:rPr>
        <w:t xml:space="preserve"> dependence but does not introduce three-body (and higher order) interaction is the Gay-Berne (GB) model, which will be discussed in the next Section.</w:t>
      </w:r>
    </w:p>
    <w:p w:rsidR="00C90DEB" w:rsidRDefault="00C90DEB">
      <w:pPr>
        <w:pStyle w:val="BodyText3"/>
        <w:ind w:right="-180"/>
        <w:rPr>
          <w:rFonts w:ascii="Book Antiqua" w:hAnsi="Book Antiqua"/>
        </w:rPr>
      </w:pPr>
    </w:p>
    <w:p w:rsidR="00C90DEB" w:rsidRDefault="002B1C63">
      <w:pPr>
        <w:pStyle w:val="BodyText3"/>
        <w:ind w:right="-180"/>
        <w:jc w:val="center"/>
        <w:rPr>
          <w:rFonts w:ascii="Book Antiqua" w:hAnsi="Book Antiqua"/>
        </w:rPr>
      </w:pPr>
      <w:r>
        <w:rPr>
          <w:rFonts w:ascii="Book Antiqua" w:hAnsi="Book Antiqua"/>
          <w:noProof/>
        </w:rPr>
        <w:drawing>
          <wp:inline distT="0" distB="0" distL="0" distR="0">
            <wp:extent cx="2381250" cy="2066925"/>
            <wp:effectExtent l="0" t="0" r="0" b="9525"/>
            <wp:docPr id="1" name="Picture 1" descr="..\..\..\..\..\..\Untitled-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cop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066925"/>
                    </a:xfrm>
                    <a:prstGeom prst="rect">
                      <a:avLst/>
                    </a:prstGeom>
                    <a:noFill/>
                    <a:ln>
                      <a:noFill/>
                    </a:ln>
                  </pic:spPr>
                </pic:pic>
              </a:graphicData>
            </a:graphic>
          </wp:inline>
        </w:drawing>
      </w:r>
    </w:p>
    <w:p w:rsidR="00C90DEB" w:rsidRDefault="0043072C">
      <w:pPr>
        <w:pStyle w:val="BodyText3"/>
        <w:ind w:right="-180"/>
        <w:jc w:val="center"/>
        <w:rPr>
          <w:rFonts w:ascii="Book Antiqua" w:hAnsi="Book Antiqua"/>
        </w:rPr>
      </w:pPr>
      <w:r>
        <w:rPr>
          <w:rFonts w:ascii="Book Antiqua" w:hAnsi="Book Antiqua"/>
        </w:rPr>
        <w:t>(a)</w:t>
      </w:r>
    </w:p>
    <w:p w:rsidR="00C90DEB" w:rsidRDefault="00C90DEB">
      <w:pPr>
        <w:pStyle w:val="BodyText3"/>
        <w:ind w:right="-180"/>
        <w:jc w:val="center"/>
        <w:rPr>
          <w:rFonts w:ascii="Book Antiqua" w:hAnsi="Book Antiqua"/>
        </w:rPr>
      </w:pPr>
    </w:p>
    <w:p w:rsidR="00C90DEB" w:rsidRDefault="002B1C63">
      <w:pPr>
        <w:pStyle w:val="BodyText3"/>
        <w:ind w:right="-180"/>
        <w:jc w:val="center"/>
        <w:rPr>
          <w:rFonts w:ascii="Book Antiqua" w:hAnsi="Book Antiqua"/>
        </w:rPr>
      </w:pPr>
      <w:r>
        <w:rPr>
          <w:rFonts w:ascii="Book Antiqua" w:hAnsi="Book Antiqua"/>
          <w:noProof/>
        </w:rPr>
        <w:lastRenderedPageBreak/>
        <w:drawing>
          <wp:inline distT="0" distB="0" distL="0" distR="0">
            <wp:extent cx="3181350" cy="2238375"/>
            <wp:effectExtent l="0" t="0" r="0" b="9525"/>
            <wp:docPr id="2" name="Picture 2" descr="..\..\..\..\..\..\Untitled-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1 co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2238375"/>
                    </a:xfrm>
                    <a:prstGeom prst="rect">
                      <a:avLst/>
                    </a:prstGeom>
                    <a:noFill/>
                    <a:ln>
                      <a:noFill/>
                    </a:ln>
                  </pic:spPr>
                </pic:pic>
              </a:graphicData>
            </a:graphic>
          </wp:inline>
        </w:drawing>
      </w:r>
    </w:p>
    <w:p w:rsidR="00C90DEB" w:rsidRDefault="0043072C">
      <w:pPr>
        <w:pStyle w:val="BodyText3"/>
        <w:ind w:right="-180"/>
        <w:jc w:val="center"/>
        <w:rPr>
          <w:rFonts w:ascii="Book Antiqua" w:hAnsi="Book Antiqua"/>
        </w:rPr>
      </w:pPr>
      <w:r>
        <w:rPr>
          <w:rFonts w:ascii="Book Antiqua" w:hAnsi="Book Antiqua"/>
        </w:rPr>
        <w:t>(b)</w:t>
      </w:r>
    </w:p>
    <w:p w:rsidR="00C90DEB" w:rsidRDefault="0043072C">
      <w:pPr>
        <w:pStyle w:val="BodyText3"/>
        <w:ind w:right="-180"/>
        <w:jc w:val="center"/>
        <w:rPr>
          <w:rFonts w:ascii="Book Antiqua" w:hAnsi="Book Antiqua"/>
        </w:rPr>
      </w:pPr>
      <w:r>
        <w:rPr>
          <w:rFonts w:ascii="Book Antiqua" w:hAnsi="Book Antiqua"/>
        </w:rPr>
        <w:t xml:space="preserve"> </w:t>
      </w:r>
    </w:p>
    <w:p w:rsidR="00C90DEB" w:rsidRDefault="002B1C63">
      <w:pPr>
        <w:pStyle w:val="BodyText3"/>
        <w:ind w:right="-180"/>
        <w:jc w:val="center"/>
        <w:rPr>
          <w:rFonts w:ascii="Book Antiqua" w:hAnsi="Book Antiqua"/>
        </w:rPr>
      </w:pPr>
      <w:r>
        <w:rPr>
          <w:rFonts w:ascii="Book Antiqua" w:hAnsi="Book Antiqua"/>
          <w:noProof/>
        </w:rPr>
        <w:drawing>
          <wp:inline distT="0" distB="0" distL="0" distR="0">
            <wp:extent cx="2933700" cy="2295525"/>
            <wp:effectExtent l="0" t="0" r="0" b="9525"/>
            <wp:docPr id="3" name="Picture 3" descr="..\..\..\..\..\..\Untitled-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1 cop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2295525"/>
                    </a:xfrm>
                    <a:prstGeom prst="rect">
                      <a:avLst/>
                    </a:prstGeom>
                    <a:noFill/>
                    <a:ln>
                      <a:noFill/>
                    </a:ln>
                  </pic:spPr>
                </pic:pic>
              </a:graphicData>
            </a:graphic>
          </wp:inline>
        </w:drawing>
      </w:r>
    </w:p>
    <w:p w:rsidR="00C90DEB" w:rsidRDefault="0043072C">
      <w:pPr>
        <w:pStyle w:val="BodyText3"/>
        <w:ind w:right="-180"/>
        <w:jc w:val="center"/>
        <w:rPr>
          <w:rFonts w:ascii="Book Antiqua" w:hAnsi="Book Antiqua"/>
        </w:rPr>
      </w:pPr>
      <w:r>
        <w:rPr>
          <w:rFonts w:ascii="Book Antiqua" w:hAnsi="Book Antiqua"/>
        </w:rPr>
        <w:t>(c)</w:t>
      </w:r>
    </w:p>
    <w:p w:rsidR="00C90DEB" w:rsidRDefault="00C90DEB">
      <w:pPr>
        <w:pStyle w:val="BodyText3"/>
        <w:ind w:right="-180"/>
        <w:rPr>
          <w:rFonts w:ascii="Book Antiqua" w:hAnsi="Book Antiqua" w:cs="Lucida Sans Unicode"/>
        </w:rPr>
      </w:pPr>
    </w:p>
    <w:p w:rsidR="00C90DEB" w:rsidRDefault="0043072C">
      <w:pPr>
        <w:pStyle w:val="BodyText3"/>
        <w:ind w:left="720" w:right="720"/>
        <w:rPr>
          <w:rFonts w:ascii="Book Antiqua" w:hAnsi="Book Antiqua" w:cs="Lucida Sans Unicode"/>
        </w:rPr>
      </w:pPr>
      <w:r>
        <w:rPr>
          <w:rFonts w:ascii="Book Antiqua" w:hAnsi="Book Antiqua" w:cs="Lucida Sans Unicode"/>
        </w:rPr>
        <w:t xml:space="preserve">Fig. 1.  Three typical structures formed by the LJ particles produced in molecular dynamics simulations: (a) A hexagonal close-packed lattice (with defects); (b) An amorphous solid; (c) An ionic crystal. (These images were taken from </w:t>
      </w:r>
      <w:r>
        <w:rPr>
          <w:rFonts w:ascii="Book Antiqua" w:hAnsi="Book Antiqua" w:cs="Lucida Sans Unicode"/>
          <w:i/>
          <w:iCs/>
        </w:rPr>
        <w:t>Molecular Workbench</w:t>
      </w:r>
      <w:r>
        <w:rPr>
          <w:rFonts w:ascii="Book Antiqua" w:hAnsi="Book Antiqua" w:cs="Lucida Sans Unicode"/>
        </w:rPr>
        <w:t xml:space="preserve"> models, which are freely available [1].)</w:t>
      </w:r>
    </w:p>
    <w:p w:rsidR="00C90DEB" w:rsidRDefault="00C90DEB">
      <w:pPr>
        <w:pStyle w:val="BodyText3"/>
        <w:ind w:right="-180"/>
        <w:rPr>
          <w:rFonts w:ascii="Book Antiqua" w:hAnsi="Book Antiqua" w:cs="Lucida Sans Unicode"/>
          <w:b/>
          <w:bCs/>
          <w:sz w:val="24"/>
        </w:rPr>
      </w:pPr>
    </w:p>
    <w:p w:rsidR="00C90DEB" w:rsidRDefault="0043072C">
      <w:pPr>
        <w:pStyle w:val="BodyText3"/>
        <w:ind w:right="-180"/>
        <w:rPr>
          <w:rFonts w:ascii="Book Antiqua" w:hAnsi="Book Antiqua"/>
          <w:b/>
          <w:bCs/>
          <w:sz w:val="24"/>
        </w:rPr>
      </w:pPr>
      <w:r>
        <w:rPr>
          <w:rFonts w:ascii="Book Antiqua" w:hAnsi="Book Antiqua" w:cs="Lucida Sans Unicode"/>
          <w:b/>
          <w:bCs/>
          <w:sz w:val="24"/>
        </w:rPr>
        <w:t xml:space="preserve">The modified </w:t>
      </w:r>
      <w:r>
        <w:rPr>
          <w:rFonts w:ascii="Book Antiqua" w:hAnsi="Book Antiqua"/>
          <w:b/>
          <w:bCs/>
          <w:sz w:val="24"/>
        </w:rPr>
        <w:t>Gay-Berne model</w:t>
      </w:r>
    </w:p>
    <w:p w:rsidR="00C90DEB" w:rsidRDefault="00C90DEB">
      <w:pPr>
        <w:pStyle w:val="BodyText3"/>
        <w:ind w:right="-180"/>
        <w:jc w:val="left"/>
        <w:rPr>
          <w:rFonts w:ascii="Book Antiqua" w:hAnsi="Book Antiqua"/>
        </w:rPr>
      </w:pPr>
    </w:p>
    <w:p w:rsidR="00C90DEB" w:rsidRDefault="0043072C">
      <w:pPr>
        <w:pStyle w:val="BodyText3"/>
        <w:ind w:right="-180"/>
        <w:rPr>
          <w:rFonts w:ascii="Book Antiqua" w:hAnsi="Book Antiqua"/>
        </w:rPr>
      </w:pPr>
      <w:r>
        <w:rPr>
          <w:rFonts w:ascii="Book Antiqua" w:hAnsi="Book Antiqua"/>
        </w:rPr>
        <w:t xml:space="preserve">Because the LJ particles do not have a rotational degree of freedom, they cannot show order-disorder transition of orientation, which is a typical phenomenon observed in liquid crystals. The GB model was proposed to model such phenomena. It has proven to be able to simulate </w:t>
      </w:r>
      <w:proofErr w:type="spellStart"/>
      <w:r>
        <w:rPr>
          <w:rFonts w:ascii="Book Antiqua" w:hAnsi="Book Antiqua"/>
        </w:rPr>
        <w:t>nematic</w:t>
      </w:r>
      <w:proofErr w:type="spellEnd"/>
      <w:r>
        <w:rPr>
          <w:rFonts w:ascii="Book Antiqua" w:hAnsi="Book Antiqua"/>
        </w:rPr>
        <w:t xml:space="preserve">, discotic </w:t>
      </w:r>
      <w:proofErr w:type="spellStart"/>
      <w:r>
        <w:rPr>
          <w:rFonts w:ascii="Book Antiqua" w:hAnsi="Book Antiqua"/>
        </w:rPr>
        <w:t>nematic</w:t>
      </w:r>
      <w:proofErr w:type="spellEnd"/>
      <w:r>
        <w:rPr>
          <w:rFonts w:ascii="Book Antiqua" w:hAnsi="Book Antiqua"/>
        </w:rPr>
        <w:t xml:space="preserve">, and biaxial </w:t>
      </w:r>
      <w:proofErr w:type="spellStart"/>
      <w:r>
        <w:rPr>
          <w:rFonts w:ascii="Book Antiqua" w:hAnsi="Book Antiqua"/>
        </w:rPr>
        <w:t>nematic</w:t>
      </w:r>
      <w:proofErr w:type="spellEnd"/>
      <w:r>
        <w:rPr>
          <w:rFonts w:ascii="Book Antiqua" w:hAnsi="Book Antiqua"/>
        </w:rPr>
        <w:t xml:space="preserve"> phases of liquid crystals, and become popular for modeling </w:t>
      </w:r>
      <w:proofErr w:type="spellStart"/>
      <w:r>
        <w:rPr>
          <w:rFonts w:ascii="Book Antiqua" w:hAnsi="Book Antiqua"/>
        </w:rPr>
        <w:t>mesogenic</w:t>
      </w:r>
      <w:proofErr w:type="spellEnd"/>
      <w:r>
        <w:rPr>
          <w:rFonts w:ascii="Book Antiqua" w:hAnsi="Book Antiqua"/>
        </w:rPr>
        <w:t xml:space="preserve"> systems. The commonly used GB model applies only to systems consisting of elliptic particles with identical sizes, which makes it less useful in extending to systems of generic interest. Cleaver, Care, Allen, and Neal (CCAN) generalized the GB model to systems composed of elliptical particles of different sizes [18]. This generalization enlarges the scope of systems that the GB model can be used to simulate. Many processes in which the internal structures of the molecules are not modified and do not play an important role, for example, nanoscale self-assembly of stable chemical compounds </w:t>
      </w:r>
      <w:r>
        <w:rPr>
          <w:rFonts w:ascii="Book Antiqua" w:hAnsi="Book Antiqua"/>
        </w:rPr>
        <w:lastRenderedPageBreak/>
        <w:t>which is primarily caused by electrostatic interactions rather than covalent bonding, can therefore be modeled based on the generalized GB potential (see Fig. 2 for a schematic illustration).</w:t>
      </w:r>
    </w:p>
    <w:p w:rsidR="00C90DEB" w:rsidRDefault="002B1C63">
      <w:pPr>
        <w:pStyle w:val="BodyText3"/>
        <w:ind w:right="-180"/>
        <w:jc w:val="center"/>
        <w:rPr>
          <w:rFonts w:ascii="Book Antiqua" w:hAnsi="Book Antiqua"/>
        </w:rPr>
      </w:pPr>
      <w:r>
        <w:rPr>
          <w:rFonts w:ascii="Book Antiqua" w:hAnsi="Book Antiqua"/>
          <w:noProof/>
        </w:rPr>
        <w:drawing>
          <wp:inline distT="0" distB="0" distL="0" distR="0">
            <wp:extent cx="4333875" cy="3676650"/>
            <wp:effectExtent l="0" t="0" r="9525" b="0"/>
            <wp:docPr id="4" name="Picture 4" descr="..\..\..\..\..\..\test\UnitedAtomModel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UnitedAtomModeling.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3676650"/>
                    </a:xfrm>
                    <a:prstGeom prst="rect">
                      <a:avLst/>
                    </a:prstGeom>
                    <a:noFill/>
                    <a:ln>
                      <a:noFill/>
                    </a:ln>
                  </pic:spPr>
                </pic:pic>
              </a:graphicData>
            </a:graphic>
          </wp:inline>
        </w:drawing>
      </w:r>
    </w:p>
    <w:p w:rsidR="00C90DEB" w:rsidRDefault="0043072C">
      <w:pPr>
        <w:pStyle w:val="BodyText3"/>
        <w:ind w:left="720" w:right="720"/>
        <w:rPr>
          <w:rFonts w:ascii="Book Antiqua" w:hAnsi="Book Antiqua"/>
        </w:rPr>
      </w:pPr>
      <w:r>
        <w:rPr>
          <w:rFonts w:ascii="Book Antiqua" w:hAnsi="Book Antiqua"/>
        </w:rPr>
        <w:t>Fig. 2. The Gay-Berne potential can be used to model approximately molecules and their interactions when their internal structures and intramolecular forces do not have a significant contribution to the overall assembly dynamics.</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 xml:space="preserve">The GB model has a similar 12-6 form to that of the LJ potential, but is actually far more complicated. Suppose the length of an elliptic particle </w:t>
      </w:r>
      <w:proofErr w:type="spellStart"/>
      <w:proofErr w:type="gramStart"/>
      <w:r>
        <w:rPr>
          <w:rFonts w:ascii="Book Antiqua" w:hAnsi="Book Antiqua"/>
          <w:i/>
          <w:iCs/>
        </w:rPr>
        <w:t>i</w:t>
      </w:r>
      <w:proofErr w:type="spellEnd"/>
      <w:r>
        <w:rPr>
          <w:rFonts w:ascii="Book Antiqua" w:hAnsi="Book Antiqua"/>
          <w:i/>
          <w:iCs/>
        </w:rPr>
        <w:t xml:space="preserve"> </w:t>
      </w:r>
      <w:r>
        <w:rPr>
          <w:rFonts w:ascii="Book Antiqua" w:hAnsi="Book Antiqua"/>
        </w:rPr>
        <w:t xml:space="preserve"> is</w:t>
      </w:r>
      <w:proofErr w:type="gramEnd"/>
      <w:r>
        <w:rPr>
          <w:rFonts w:ascii="Book Antiqua" w:hAnsi="Book Antiqua"/>
        </w:rPr>
        <w:t xml:space="preserve"> </w:t>
      </w:r>
      <w:r>
        <w:rPr>
          <w:rFonts w:ascii="Book Antiqua" w:hAnsi="Book Antiqua"/>
          <w:position w:val="-12"/>
        </w:rPr>
        <w:object w:dxaOrig="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8pt" o:ole="">
            <v:imagedata r:id="rId12" o:title=""/>
          </v:shape>
          <o:OLEObject Type="Embed" ProgID="Equation.3" ShapeID="_x0000_i1025" DrawAspect="Content" ObjectID="_1535872868" r:id="rId13"/>
        </w:object>
      </w:r>
      <w:r>
        <w:rPr>
          <w:rFonts w:ascii="Book Antiqua" w:hAnsi="Book Antiqua"/>
        </w:rPr>
        <w:t xml:space="preserve"> ,  the breadth is</w:t>
      </w:r>
      <w:r>
        <w:rPr>
          <w:rFonts w:ascii="Book Antiqua" w:hAnsi="Book Antiqua"/>
          <w:position w:val="-12"/>
        </w:rPr>
        <w:object w:dxaOrig="260" w:dyaOrig="360">
          <v:shape id="_x0000_i1026" type="#_x0000_t75" style="width:12.75pt;height:18pt" o:ole="">
            <v:imagedata r:id="rId14" o:title=""/>
          </v:shape>
          <o:OLEObject Type="Embed" ProgID="Equation.3" ShapeID="_x0000_i1026" DrawAspect="Content" ObjectID="_1535872869" r:id="rId15"/>
        </w:object>
      </w:r>
      <w:r>
        <w:rPr>
          <w:rFonts w:ascii="Book Antiqua" w:hAnsi="Book Antiqua"/>
        </w:rPr>
        <w:t xml:space="preserve">, it has a net charge </w:t>
      </w:r>
      <w:r>
        <w:rPr>
          <w:rFonts w:ascii="Book Antiqua" w:hAnsi="Book Antiqua"/>
          <w:position w:val="-12"/>
        </w:rPr>
        <w:object w:dxaOrig="240" w:dyaOrig="360">
          <v:shape id="_x0000_i1027" type="#_x0000_t75" style="width:12pt;height:18pt" o:ole="">
            <v:imagedata r:id="rId16" o:title=""/>
          </v:shape>
          <o:OLEObject Type="Embed" ProgID="Equation.3" ShapeID="_x0000_i1027" DrawAspect="Content" ObjectID="_1535872870" r:id="rId17"/>
        </w:object>
      </w:r>
      <w:r>
        <w:rPr>
          <w:rFonts w:ascii="Book Antiqua" w:hAnsi="Book Antiqua"/>
        </w:rPr>
        <w:t xml:space="preserve"> and an electric dipole moment </w:t>
      </w:r>
      <w:r>
        <w:rPr>
          <w:rFonts w:ascii="Book Antiqua" w:hAnsi="Book Antiqua"/>
          <w:position w:val="-12"/>
        </w:rPr>
        <w:object w:dxaOrig="279" w:dyaOrig="360">
          <v:shape id="_x0000_i1028" type="#_x0000_t75" style="width:14.25pt;height:18pt" o:ole="">
            <v:imagedata r:id="rId18" o:title=""/>
          </v:shape>
          <o:OLEObject Type="Embed" ProgID="Equation.3" ShapeID="_x0000_i1028" DrawAspect="Content" ObjectID="_1535872871" r:id="rId19"/>
        </w:object>
      </w:r>
      <w:r>
        <w:rPr>
          <w:rFonts w:ascii="Book Antiqua" w:hAnsi="Book Antiqua"/>
        </w:rPr>
        <w:t xml:space="preserve"> ,  and its orientation is represented by a unit vector </w:t>
      </w:r>
      <w:r>
        <w:rPr>
          <w:rFonts w:ascii="Book Antiqua" w:hAnsi="Book Antiqua"/>
          <w:position w:val="-12"/>
        </w:rPr>
        <w:object w:dxaOrig="260" w:dyaOrig="360">
          <v:shape id="_x0000_i1029" type="#_x0000_t75" style="width:12.75pt;height:18pt" o:ole="">
            <v:imagedata r:id="rId20" o:title=""/>
          </v:shape>
          <o:OLEObject Type="Embed" ProgID="Equation.3" ShapeID="_x0000_i1029" DrawAspect="Content" ObjectID="_1535872872" r:id="rId21"/>
        </w:object>
      </w:r>
      <w:r>
        <w:rPr>
          <w:rFonts w:ascii="Book Antiqua" w:hAnsi="Book Antiqua"/>
        </w:rPr>
        <w:t xml:space="preserve"> (see Fig. 2). The </w:t>
      </w:r>
      <w:bookmarkStart w:id="0" w:name="_GoBack"/>
      <w:bookmarkEnd w:id="0"/>
      <w:r>
        <w:rPr>
          <w:rFonts w:ascii="Book Antiqua" w:hAnsi="Book Antiqua"/>
        </w:rPr>
        <w:t>modified GB potential reads:</w:t>
      </w:r>
    </w:p>
    <w:p w:rsidR="00C90DEB" w:rsidRDefault="00C90DEB">
      <w:pPr>
        <w:pStyle w:val="BodyText3"/>
        <w:ind w:right="-180"/>
        <w:rPr>
          <w:rFonts w:ascii="Book Antiqua" w:hAnsi="Book Antiqua"/>
        </w:rPr>
      </w:pPr>
    </w:p>
    <w:p w:rsidR="00C90DEB" w:rsidRDefault="00723221">
      <w:pPr>
        <w:pStyle w:val="BodyText3"/>
        <w:ind w:right="-180"/>
        <w:rPr>
          <w:rFonts w:ascii="Book Antiqua" w:hAnsi="Book Antiqua"/>
        </w:rPr>
      </w:pPr>
      <w:r>
        <w:rPr>
          <w:rFonts w:ascii="Book Antiqua" w:hAnsi="Book Antiqua"/>
          <w:position w:val="-110"/>
        </w:rPr>
        <w:object w:dxaOrig="8020" w:dyaOrig="2500">
          <v:shape id="_x0000_i1058" type="#_x0000_t75" style="width:401.25pt;height:125.25pt" o:ole="">
            <v:imagedata r:id="rId22" o:title=""/>
          </v:shape>
          <o:OLEObject Type="Embed" ProgID="Equation.3" ShapeID="_x0000_i1058" DrawAspect="Content" ObjectID="_1535872873" r:id="rId23"/>
        </w:object>
      </w:r>
      <w:r w:rsidR="0043072C">
        <w:rPr>
          <w:rFonts w:ascii="Book Antiqua" w:hAnsi="Book Antiqua"/>
        </w:rPr>
        <w:t>(1)</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proofErr w:type="gramStart"/>
      <w:r>
        <w:rPr>
          <w:rFonts w:ascii="Book Antiqua" w:hAnsi="Book Antiqua"/>
        </w:rPr>
        <w:t>where</w:t>
      </w:r>
      <w:proofErr w:type="gramEnd"/>
    </w:p>
    <w:p w:rsidR="00C90DEB" w:rsidRDefault="00C90DEB">
      <w:pPr>
        <w:pStyle w:val="BodyText3"/>
        <w:ind w:right="-180"/>
        <w:rPr>
          <w:rFonts w:ascii="Book Antiqua" w:hAnsi="Book Antiqua"/>
        </w:rPr>
      </w:pP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position w:val="-42"/>
        </w:rPr>
        <w:object w:dxaOrig="7600" w:dyaOrig="999">
          <v:shape id="_x0000_i1030" type="#_x0000_t75" style="width:380.25pt;height:50.25pt" o:ole="">
            <v:imagedata r:id="rId24" o:title=""/>
          </v:shape>
          <o:OLEObject Type="Embed" ProgID="Equation.3" ShapeID="_x0000_i1030" DrawAspect="Content" ObjectID="_1535872874" r:id="rId25"/>
        </w:object>
      </w:r>
      <w:r>
        <w:rPr>
          <w:rFonts w:ascii="Book Antiqua" w:hAnsi="Book Antiqua"/>
        </w:rPr>
        <w:t>(2)</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 xml:space="preserve">is the orientation-dependent range parameter derived from the </w:t>
      </w:r>
      <w:proofErr w:type="spellStart"/>
      <w:r>
        <w:rPr>
          <w:rFonts w:ascii="Book Antiqua" w:hAnsi="Book Antiqua"/>
        </w:rPr>
        <w:t>equi</w:t>
      </w:r>
      <w:proofErr w:type="spellEnd"/>
      <w:r>
        <w:rPr>
          <w:rFonts w:ascii="Book Antiqua" w:hAnsi="Book Antiqua"/>
        </w:rPr>
        <w:t xml:space="preserve">-density surface of the electron cloud of a </w:t>
      </w:r>
      <w:proofErr w:type="spellStart"/>
      <w:r>
        <w:rPr>
          <w:rFonts w:ascii="Book Antiqua" w:hAnsi="Book Antiqua"/>
        </w:rPr>
        <w:t>uniaxially</w:t>
      </w:r>
      <w:proofErr w:type="spellEnd"/>
      <w:r>
        <w:rPr>
          <w:rFonts w:ascii="Book Antiqua" w:hAnsi="Book Antiqua"/>
        </w:rPr>
        <w:t xml:space="preserve"> stretched Gaussian distribution,  </w:t>
      </w:r>
      <w:r>
        <w:rPr>
          <w:rFonts w:ascii="Book Antiqua" w:hAnsi="Book Antiqua"/>
          <w:position w:val="-14"/>
        </w:rPr>
        <w:object w:dxaOrig="260" w:dyaOrig="380">
          <v:shape id="_x0000_i1031" type="#_x0000_t75" style="width:12.75pt;height:18.75pt" o:ole="">
            <v:imagedata r:id="rId26" o:title=""/>
          </v:shape>
          <o:OLEObject Type="Embed" ProgID="Equation.3" ShapeID="_x0000_i1031" DrawAspect="Content" ObjectID="_1535872875" r:id="rId27"/>
        </w:object>
      </w:r>
      <w:r>
        <w:rPr>
          <w:rFonts w:ascii="Book Antiqua" w:hAnsi="Book Antiqua"/>
        </w:rPr>
        <w:t xml:space="preserve">  is the distance unit vector between the particles </w:t>
      </w:r>
      <w:proofErr w:type="spellStart"/>
      <w:r>
        <w:rPr>
          <w:rFonts w:ascii="Book Antiqua" w:hAnsi="Book Antiqua"/>
          <w:i/>
          <w:iCs/>
        </w:rPr>
        <w:t>i</w:t>
      </w:r>
      <w:proofErr w:type="spellEnd"/>
      <w:r>
        <w:rPr>
          <w:rFonts w:ascii="Book Antiqua" w:hAnsi="Book Antiqua"/>
        </w:rPr>
        <w:t xml:space="preserve"> and </w:t>
      </w:r>
      <w:r>
        <w:rPr>
          <w:rFonts w:ascii="Book Antiqua" w:hAnsi="Book Antiqua"/>
          <w:i/>
          <w:iCs/>
        </w:rPr>
        <w:t>j</w:t>
      </w:r>
      <w:r>
        <w:rPr>
          <w:rFonts w:ascii="Book Antiqua" w:hAnsi="Book Antiqua"/>
        </w:rPr>
        <w:t xml:space="preserve">, and </w:t>
      </w:r>
      <w:r>
        <w:rPr>
          <w:rFonts w:ascii="Book Antiqua" w:hAnsi="Book Antiqua"/>
          <w:position w:val="-14"/>
        </w:rPr>
        <w:object w:dxaOrig="340" w:dyaOrig="400">
          <v:shape id="_x0000_i1032" type="#_x0000_t75" style="width:17.25pt;height:20.25pt" o:ole="">
            <v:imagedata r:id="rId28" o:title=""/>
          </v:shape>
          <o:OLEObject Type="Embed" ProgID="Equation.3" ShapeID="_x0000_i1032" DrawAspect="Content" ObjectID="_1535872876" r:id="rId29"/>
        </w:object>
      </w:r>
      <w:r>
        <w:rPr>
          <w:rFonts w:ascii="Book Antiqua" w:hAnsi="Book Antiqua"/>
        </w:rPr>
        <w:t xml:space="preserve"> is the contact parameter set as the quadratic mean of the breadths of the two interacting particles:</w:t>
      </w:r>
      <w:r>
        <w:rPr>
          <w:rFonts w:ascii="Book Antiqua" w:hAnsi="Book Antiqua"/>
          <w:position w:val="-16"/>
        </w:rPr>
        <w:object w:dxaOrig="1380" w:dyaOrig="480">
          <v:shape id="_x0000_i1033" type="#_x0000_t75" style="width:69pt;height:24pt" o:ole="">
            <v:imagedata r:id="rId30" o:title=""/>
          </v:shape>
          <o:OLEObject Type="Embed" ProgID="Equation.3" ShapeID="_x0000_i1033" DrawAspect="Content" ObjectID="_1535872877" r:id="rId31"/>
        </w:object>
      </w:r>
      <w:r>
        <w:rPr>
          <w:rFonts w:ascii="Book Antiqua" w:hAnsi="Book Antiqua"/>
        </w:rPr>
        <w:t>.</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position w:val="-10"/>
        </w:rPr>
        <w:object w:dxaOrig="240" w:dyaOrig="260">
          <v:shape id="_x0000_i1034" type="#_x0000_t75" style="width:12pt;height:12.75pt" o:ole="">
            <v:imagedata r:id="rId32" o:title=""/>
          </v:shape>
          <o:OLEObject Type="Embed" ProgID="Equation.3" ShapeID="_x0000_i1034" DrawAspect="Content" ObjectID="_1535872878" r:id="rId33"/>
        </w:object>
      </w:r>
      <w:r>
        <w:rPr>
          <w:rFonts w:ascii="Book Antiqua" w:hAnsi="Book Antiqua"/>
        </w:rPr>
        <w:t xml:space="preserve"> </w:t>
      </w:r>
      <w:proofErr w:type="gramStart"/>
      <w:r>
        <w:rPr>
          <w:rFonts w:ascii="Book Antiqua" w:hAnsi="Book Antiqua"/>
        </w:rPr>
        <w:t>and</w:t>
      </w:r>
      <w:proofErr w:type="gramEnd"/>
      <w:r>
        <w:rPr>
          <w:rFonts w:ascii="Book Antiqua" w:hAnsi="Book Antiqua"/>
        </w:rPr>
        <w:t xml:space="preserve"> </w:t>
      </w:r>
      <w:r>
        <w:rPr>
          <w:rFonts w:ascii="Book Antiqua" w:hAnsi="Book Antiqua"/>
          <w:position w:val="-6"/>
        </w:rPr>
        <w:object w:dxaOrig="240" w:dyaOrig="220">
          <v:shape id="_x0000_i1035" type="#_x0000_t75" style="width:12pt;height:11.25pt" o:ole="">
            <v:imagedata r:id="rId34" o:title=""/>
          </v:shape>
          <o:OLEObject Type="Embed" ProgID="Equation.3" ShapeID="_x0000_i1035" DrawAspect="Content" ObjectID="_1535872879" r:id="rId35"/>
        </w:object>
      </w:r>
      <w:r>
        <w:rPr>
          <w:rFonts w:ascii="Book Antiqua" w:hAnsi="Book Antiqua"/>
        </w:rPr>
        <w:t xml:space="preserve"> are two parameters, defined as:</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position w:val="-36"/>
        </w:rPr>
        <w:object w:dxaOrig="5040" w:dyaOrig="880">
          <v:shape id="_x0000_i1036" type="#_x0000_t75" style="width:252pt;height:44.25pt" o:ole="">
            <v:imagedata r:id="rId36" o:title=""/>
          </v:shape>
          <o:OLEObject Type="Embed" ProgID="Equation.3" ShapeID="_x0000_i1036" DrawAspect="Content" ObjectID="_1535872880" r:id="rId37"/>
        </w:object>
      </w:r>
      <w:r>
        <w:rPr>
          <w:rFonts w:ascii="Book Antiqua" w:hAnsi="Book Antiqua"/>
        </w:rPr>
        <w:t xml:space="preserve">                                                    (3)</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proofErr w:type="gramStart"/>
      <w:r>
        <w:rPr>
          <w:rFonts w:ascii="Book Antiqua" w:hAnsi="Book Antiqua"/>
        </w:rPr>
        <w:t>and</w:t>
      </w:r>
      <w:proofErr w:type="gramEnd"/>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position w:val="-36"/>
        </w:rPr>
        <w:object w:dxaOrig="5020" w:dyaOrig="880">
          <v:shape id="_x0000_i1037" type="#_x0000_t75" style="width:251.25pt;height:44.25pt" o:ole="">
            <v:imagedata r:id="rId38" o:title=""/>
          </v:shape>
          <o:OLEObject Type="Embed" ProgID="Equation.3" ShapeID="_x0000_i1037" DrawAspect="Content" ObjectID="_1535872881" r:id="rId39"/>
        </w:object>
      </w:r>
      <w:r>
        <w:rPr>
          <w:rFonts w:ascii="Book Antiqua" w:hAnsi="Book Antiqua"/>
        </w:rPr>
        <w:t xml:space="preserve">                                                     (4)</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proofErr w:type="gramStart"/>
      <w:r>
        <w:rPr>
          <w:rFonts w:ascii="Book Antiqua" w:hAnsi="Book Antiqua"/>
        </w:rPr>
        <w:t>respectively</w:t>
      </w:r>
      <w:proofErr w:type="gramEnd"/>
      <w:r>
        <w:rPr>
          <w:rFonts w:ascii="Book Antiqua" w:hAnsi="Book Antiqua"/>
        </w:rPr>
        <w:t xml:space="preserve">. </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position w:val="-14"/>
        </w:rPr>
        <w:object w:dxaOrig="1219" w:dyaOrig="380">
          <v:shape id="_x0000_i1038" type="#_x0000_t75" style="width:60.75pt;height:18.75pt" o:ole="">
            <v:imagedata r:id="rId40" o:title=""/>
          </v:shape>
          <o:OLEObject Type="Embed" ProgID="Equation.3" ShapeID="_x0000_i1038" DrawAspect="Content" ObjectID="_1535872882" r:id="rId41"/>
        </w:object>
      </w:r>
      <w:r>
        <w:rPr>
          <w:rFonts w:ascii="Book Antiqua" w:hAnsi="Book Antiqua"/>
        </w:rPr>
        <w:t xml:space="preserve"> </w:t>
      </w:r>
      <w:proofErr w:type="gramStart"/>
      <w:r>
        <w:rPr>
          <w:rFonts w:ascii="Book Antiqua" w:hAnsi="Book Antiqua"/>
        </w:rPr>
        <w:t>is</w:t>
      </w:r>
      <w:proofErr w:type="gramEnd"/>
      <w:r>
        <w:rPr>
          <w:rFonts w:ascii="Book Antiqua" w:hAnsi="Book Antiqua"/>
        </w:rPr>
        <w:t xml:space="preserve"> the well depth of the interaction potential:</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position w:val="-16"/>
        </w:rPr>
        <w:object w:dxaOrig="4580" w:dyaOrig="440">
          <v:shape id="_x0000_i1039" type="#_x0000_t75" style="width:228.75pt;height:21.75pt" o:ole="">
            <v:imagedata r:id="rId42" o:title=""/>
          </v:shape>
          <o:OLEObject Type="Embed" ProgID="Equation.3" ShapeID="_x0000_i1039" DrawAspect="Content" ObjectID="_1535872883" r:id="rId43"/>
        </w:object>
      </w:r>
      <w:r>
        <w:rPr>
          <w:rFonts w:ascii="Book Antiqua" w:hAnsi="Book Antiqua"/>
        </w:rPr>
        <w:t xml:space="preserve">                                                              (5)</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proofErr w:type="gramStart"/>
      <w:r>
        <w:rPr>
          <w:rFonts w:ascii="Book Antiqua" w:hAnsi="Book Antiqua"/>
        </w:rPr>
        <w:t xml:space="preserve">where </w:t>
      </w:r>
      <w:proofErr w:type="gramEnd"/>
      <w:r>
        <w:rPr>
          <w:rFonts w:ascii="Book Antiqua" w:hAnsi="Book Antiqua"/>
          <w:position w:val="-14"/>
        </w:rPr>
        <w:object w:dxaOrig="360" w:dyaOrig="380">
          <v:shape id="_x0000_i1040" type="#_x0000_t75" style="width:18pt;height:18.75pt" o:ole="">
            <v:imagedata r:id="rId44" o:title=""/>
          </v:shape>
          <o:OLEObject Type="Embed" ProgID="Equation.3" ShapeID="_x0000_i1040" DrawAspect="Content" ObjectID="_1535872884" r:id="rId45"/>
        </w:object>
      </w:r>
      <w:r>
        <w:rPr>
          <w:rFonts w:ascii="Book Antiqua" w:hAnsi="Book Antiqua"/>
        </w:rPr>
        <w:t>,</w:t>
      </w:r>
      <w:r>
        <w:rPr>
          <w:rFonts w:ascii="Book Antiqua" w:hAnsi="Book Antiqua"/>
          <w:position w:val="-14"/>
        </w:rPr>
        <w:object w:dxaOrig="380" w:dyaOrig="380">
          <v:shape id="_x0000_i1041" type="#_x0000_t75" style="width:18.75pt;height:18.75pt" o:ole="">
            <v:imagedata r:id="rId46" o:title=""/>
          </v:shape>
          <o:OLEObject Type="Embed" ProgID="Equation.3" ShapeID="_x0000_i1041" DrawAspect="Content" ObjectID="_1535872885" r:id="rId47"/>
        </w:object>
      </w:r>
      <w:r>
        <w:rPr>
          <w:rFonts w:ascii="Book Antiqua" w:hAnsi="Book Antiqua"/>
        </w:rPr>
        <w:t xml:space="preserve">, </w:t>
      </w:r>
      <w:r>
        <w:rPr>
          <w:rFonts w:ascii="Book Antiqua" w:hAnsi="Book Antiqua"/>
        </w:rPr>
        <w:sym w:font="Symbol" w:char="F06D"/>
      </w:r>
      <w:r>
        <w:rPr>
          <w:rFonts w:ascii="Book Antiqua" w:hAnsi="Book Antiqua"/>
        </w:rPr>
        <w:t xml:space="preserve"> and </w:t>
      </w:r>
      <w:r>
        <w:rPr>
          <w:rFonts w:ascii="Book Antiqua" w:hAnsi="Book Antiqua"/>
        </w:rPr>
        <w:sym w:font="Symbol" w:char="F06E"/>
      </w:r>
      <w:r>
        <w:rPr>
          <w:rFonts w:ascii="Book Antiqua" w:hAnsi="Book Antiqua"/>
        </w:rPr>
        <w:t xml:space="preserve"> are adjustable parameters. The first function is dependent on the relative orientation of the two particles but independent of the distance between them:</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position w:val="-14"/>
        </w:rPr>
        <w:object w:dxaOrig="3159" w:dyaOrig="460">
          <v:shape id="_x0000_i1042" type="#_x0000_t75" style="width:158.25pt;height:23.25pt" o:ole="">
            <v:imagedata r:id="rId48" o:title=""/>
          </v:shape>
          <o:OLEObject Type="Embed" ProgID="Equation.3" ShapeID="_x0000_i1042" DrawAspect="Content" ObjectID="_1535872886" r:id="rId49"/>
        </w:object>
      </w:r>
      <w:r>
        <w:rPr>
          <w:rFonts w:ascii="Book Antiqua" w:hAnsi="Book Antiqua"/>
        </w:rPr>
        <w:t xml:space="preserve">                                                                                           (6)</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The second function depends on both the orientation and distance:</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position w:val="-42"/>
        </w:rPr>
        <w:object w:dxaOrig="7380" w:dyaOrig="960">
          <v:shape id="_x0000_i1043" type="#_x0000_t75" style="width:369pt;height:48pt" o:ole="">
            <v:imagedata r:id="rId50" o:title=""/>
          </v:shape>
          <o:OLEObject Type="Embed" ProgID="Equation.3" ShapeID="_x0000_i1043" DrawAspect="Content" ObjectID="_1535872887" r:id="rId51"/>
        </w:object>
      </w:r>
      <w:r>
        <w:rPr>
          <w:rFonts w:ascii="Book Antiqua" w:hAnsi="Book Antiqua"/>
        </w:rPr>
        <w:t xml:space="preserve">   (7)</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proofErr w:type="gramStart"/>
      <w:r>
        <w:rPr>
          <w:rFonts w:ascii="Book Antiqua" w:hAnsi="Book Antiqua"/>
        </w:rPr>
        <w:t>where</w:t>
      </w:r>
      <w:proofErr w:type="gramEnd"/>
      <w:r>
        <w:rPr>
          <w:rFonts w:ascii="Book Antiqua" w:hAnsi="Book Antiqua"/>
        </w:rPr>
        <w:t xml:space="preserve"> the anisotropy parameters of interaction energy for this pair of particles are defined as:</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position w:val="-36"/>
        </w:rPr>
        <w:object w:dxaOrig="2940" w:dyaOrig="840">
          <v:shape id="_x0000_i1044" type="#_x0000_t75" style="width:147pt;height:42pt" o:ole="">
            <v:imagedata r:id="rId52" o:title=""/>
          </v:shape>
          <o:OLEObject Type="Embed" ProgID="Equation.3" ShapeID="_x0000_i1044" DrawAspect="Content" ObjectID="_1535872888" r:id="rId53"/>
        </w:object>
      </w:r>
      <w:r>
        <w:rPr>
          <w:rFonts w:ascii="Book Antiqua" w:hAnsi="Book Antiqua"/>
        </w:rPr>
        <w:t xml:space="preserve">                                                                                           (8)</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proofErr w:type="gramStart"/>
      <w:r>
        <w:rPr>
          <w:rFonts w:ascii="Book Antiqua" w:hAnsi="Book Antiqua"/>
        </w:rPr>
        <w:t>and</w:t>
      </w:r>
      <w:proofErr w:type="gramEnd"/>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position w:val="-38"/>
        </w:rPr>
        <w:object w:dxaOrig="3100" w:dyaOrig="820">
          <v:shape id="_x0000_i1045" type="#_x0000_t75" style="width:155.25pt;height:41.25pt" o:ole="">
            <v:imagedata r:id="rId54" o:title=""/>
          </v:shape>
          <o:OLEObject Type="Embed" ProgID="Equation.3" ShapeID="_x0000_i1045" DrawAspect="Content" ObjectID="_1535872889" r:id="rId55"/>
        </w:object>
      </w:r>
      <w:r>
        <w:rPr>
          <w:rFonts w:ascii="Book Antiqua" w:hAnsi="Book Antiqua"/>
        </w:rPr>
        <w:t xml:space="preserve">                                                                                       (9)</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proofErr w:type="gramStart"/>
      <w:r>
        <w:rPr>
          <w:rFonts w:ascii="Book Antiqua" w:hAnsi="Book Antiqua"/>
        </w:rPr>
        <w:t>respectively</w:t>
      </w:r>
      <w:proofErr w:type="gramEnd"/>
      <w:r>
        <w:rPr>
          <w:rFonts w:ascii="Book Antiqua" w:hAnsi="Book Antiqua"/>
        </w:rPr>
        <w:t xml:space="preserve">. In the above equations, </w:t>
      </w:r>
      <w:r>
        <w:rPr>
          <w:rFonts w:ascii="Book Antiqua" w:hAnsi="Book Antiqua"/>
          <w:position w:val="-12"/>
        </w:rPr>
        <w:object w:dxaOrig="260" w:dyaOrig="380">
          <v:shape id="_x0000_i1046" type="#_x0000_t75" style="width:12.75pt;height:18.75pt" o:ole="">
            <v:imagedata r:id="rId56" o:title=""/>
          </v:shape>
          <o:OLEObject Type="Embed" ProgID="Equation.3" ShapeID="_x0000_i1046" DrawAspect="Content" ObjectID="_1535872890" r:id="rId57"/>
        </w:object>
      </w:r>
      <w:r>
        <w:rPr>
          <w:rFonts w:ascii="Book Antiqua" w:hAnsi="Book Antiqua"/>
        </w:rPr>
        <w:t xml:space="preserve"> and </w:t>
      </w:r>
      <w:r>
        <w:rPr>
          <w:rFonts w:ascii="Book Antiqua" w:hAnsi="Book Antiqua"/>
          <w:position w:val="-12"/>
        </w:rPr>
        <w:object w:dxaOrig="300" w:dyaOrig="380">
          <v:shape id="_x0000_i1047" type="#_x0000_t75" style="width:15pt;height:18.75pt" o:ole="">
            <v:imagedata r:id="rId58" o:title=""/>
          </v:shape>
          <o:OLEObject Type="Embed" ProgID="Equation.3" ShapeID="_x0000_i1047" DrawAspect="Content" ObjectID="_1535872891" r:id="rId59"/>
        </w:object>
      </w:r>
      <w:r>
        <w:rPr>
          <w:rFonts w:ascii="Book Antiqua" w:hAnsi="Book Antiqua"/>
        </w:rPr>
        <w:t xml:space="preserve"> are the well depths corresponding to the side-by-side arrangement for a pair of particles of the same type, and</w:t>
      </w:r>
      <w:r>
        <w:rPr>
          <w:rFonts w:ascii="Book Antiqua" w:hAnsi="Book Antiqua"/>
          <w:position w:val="-10"/>
        </w:rPr>
        <w:object w:dxaOrig="300" w:dyaOrig="360">
          <v:shape id="_x0000_i1048" type="#_x0000_t75" style="width:15pt;height:18pt" o:ole="">
            <v:imagedata r:id="rId60" o:title=""/>
          </v:shape>
          <o:OLEObject Type="Embed" ProgID="Equation.3" ShapeID="_x0000_i1048" DrawAspect="Content" ObjectID="_1535872892" r:id="rId61"/>
        </w:object>
      </w:r>
      <w:r>
        <w:rPr>
          <w:rFonts w:ascii="Book Antiqua" w:hAnsi="Book Antiqua"/>
        </w:rPr>
        <w:t xml:space="preserve"> </w:t>
      </w:r>
      <w:proofErr w:type="spellStart"/>
      <w:r>
        <w:rPr>
          <w:rFonts w:ascii="Book Antiqua" w:hAnsi="Book Antiqua"/>
        </w:rPr>
        <w:t>and</w:t>
      </w:r>
      <w:proofErr w:type="spellEnd"/>
      <w:r>
        <w:rPr>
          <w:rFonts w:ascii="Book Antiqua" w:hAnsi="Book Antiqua"/>
        </w:rPr>
        <w:t xml:space="preserve"> </w:t>
      </w:r>
      <w:r>
        <w:rPr>
          <w:rFonts w:ascii="Book Antiqua" w:hAnsi="Book Antiqua"/>
          <w:position w:val="-10"/>
        </w:rPr>
        <w:object w:dxaOrig="300" w:dyaOrig="360">
          <v:shape id="_x0000_i1049" type="#_x0000_t75" style="width:15pt;height:18pt" o:ole="">
            <v:imagedata r:id="rId62" o:title=""/>
          </v:shape>
          <o:OLEObject Type="Embed" ProgID="Equation.3" ShapeID="_x0000_i1049" DrawAspect="Content" ObjectID="_1535872893" r:id="rId63"/>
        </w:object>
      </w:r>
      <w:r>
        <w:rPr>
          <w:rFonts w:ascii="Book Antiqua" w:hAnsi="Book Antiqua"/>
        </w:rPr>
        <w:t xml:space="preserve"> are those corresponding to the end-to-end arrangement.</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The CCAN version of the GB model assumes that all GB particles have the same energetic anisotropy (quantified by</w:t>
      </w:r>
      <w:r>
        <w:rPr>
          <w:rFonts w:ascii="Book Antiqua" w:hAnsi="Book Antiqua"/>
          <w:position w:val="-12"/>
        </w:rPr>
        <w:object w:dxaOrig="660" w:dyaOrig="380">
          <v:shape id="_x0000_i1050" type="#_x0000_t75" style="width:33pt;height:18.75pt" o:ole="">
            <v:imagedata r:id="rId64" o:title=""/>
          </v:shape>
          <o:OLEObject Type="Embed" ProgID="Equation.3" ShapeID="_x0000_i1050" DrawAspect="Content" ObjectID="_1535872894" r:id="rId65"/>
        </w:object>
      </w:r>
      <w:r>
        <w:rPr>
          <w:rFonts w:ascii="Book Antiqua" w:hAnsi="Book Antiqua"/>
        </w:rPr>
        <w:t xml:space="preserve">), which favors the formation of a uniform liquid crystalline phase. In our models, GB particles can have distinct energetic anisotropies. This will allow </w:t>
      </w:r>
      <w:proofErr w:type="spellStart"/>
      <w:r>
        <w:rPr>
          <w:rFonts w:ascii="Book Antiqua" w:hAnsi="Book Antiqua"/>
        </w:rPr>
        <w:t>mesogens</w:t>
      </w:r>
      <w:proofErr w:type="spellEnd"/>
      <w:r>
        <w:rPr>
          <w:rFonts w:ascii="Book Antiqua" w:hAnsi="Book Antiqua"/>
        </w:rPr>
        <w:t xml:space="preserve"> to form amorphous phases more easily. </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The last three terms in Eq. (1) are charge-charge, charge-dipole and dipole-dipole interactions, respectively. Higher orders of electric moments from quadrupoles on are neglected. These three terms are our addition to the CCAN potential. With these electrostatic interactions, GB particles can respond to an applied electric field, or form structures that are otherwise not possible (e.g. electrostatic self-assembly).</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It is obvious that when the GB particles become spherical (i.e</w:t>
      </w:r>
      <w:proofErr w:type="gramStart"/>
      <w:r>
        <w:rPr>
          <w:rFonts w:ascii="Book Antiqua" w:hAnsi="Book Antiqua"/>
        </w:rPr>
        <w:t xml:space="preserve">. </w:t>
      </w:r>
      <w:proofErr w:type="gramEnd"/>
      <w:r>
        <w:rPr>
          <w:rFonts w:ascii="Book Antiqua" w:hAnsi="Book Antiqua"/>
          <w:position w:val="-12"/>
        </w:rPr>
        <w:object w:dxaOrig="660" w:dyaOrig="360">
          <v:shape id="_x0000_i1051" type="#_x0000_t75" style="width:33pt;height:18pt" o:ole="">
            <v:imagedata r:id="rId66" o:title=""/>
          </v:shape>
          <o:OLEObject Type="Embed" ProgID="Equation.3" ShapeID="_x0000_i1051" DrawAspect="Content" ObjectID="_1535872895" r:id="rId67"/>
        </w:object>
      </w:r>
      <w:r>
        <w:rPr>
          <w:rFonts w:ascii="Book Antiqua" w:hAnsi="Book Antiqua"/>
        </w:rPr>
        <w:t xml:space="preserve">, </w:t>
      </w:r>
      <w:r>
        <w:rPr>
          <w:rFonts w:ascii="Book Antiqua" w:hAnsi="Book Antiqua"/>
          <w:position w:val="-12"/>
        </w:rPr>
        <w:object w:dxaOrig="660" w:dyaOrig="360">
          <v:shape id="_x0000_i1052" type="#_x0000_t75" style="width:33pt;height:18pt" o:ole="">
            <v:imagedata r:id="rId68" o:title=""/>
          </v:shape>
          <o:OLEObject Type="Embed" ProgID="Equation.3" ShapeID="_x0000_i1052" DrawAspect="Content" ObjectID="_1535872896" r:id="rId69"/>
        </w:object>
      </w:r>
      <w:r>
        <w:rPr>
          <w:rFonts w:ascii="Book Antiqua" w:hAnsi="Book Antiqua"/>
        </w:rPr>
        <w:t xml:space="preserve"> and/or </w:t>
      </w:r>
      <w:r>
        <w:rPr>
          <w:rFonts w:ascii="Book Antiqua" w:hAnsi="Book Antiqua"/>
          <w:position w:val="-12"/>
        </w:rPr>
        <w:object w:dxaOrig="680" w:dyaOrig="360">
          <v:shape id="_x0000_i1053" type="#_x0000_t75" style="width:33.75pt;height:18pt" o:ole="">
            <v:imagedata r:id="rId70" o:title=""/>
          </v:shape>
          <o:OLEObject Type="Embed" ProgID="Equation.3" ShapeID="_x0000_i1053" DrawAspect="Content" ObjectID="_1535872897" r:id="rId71"/>
        </w:object>
      </w:r>
      <w:r>
        <w:rPr>
          <w:rFonts w:ascii="Book Antiqua" w:hAnsi="Book Antiqua"/>
        </w:rPr>
        <w:t>), Eq. (1) returns to the conventional LJ 12-6 form and Coulombic potential. It is also obvious that the GB model requires much more calculations than the LJ model, even in the case that the GB particles become effectively the LJ ones. It can be surmised from this that a similar potential for arbitrary shapes may be computationally very costly, even if it can be analytically derived.</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The GB model is able to produce more structure variations than does the LJ one. For example, Fig. 3 shows three typical structures formed by the GB particles of the same shape (but with a different</w:t>
      </w:r>
      <w:r>
        <w:rPr>
          <w:rFonts w:ascii="Book Antiqua" w:hAnsi="Book Antiqua"/>
          <w:position w:val="-12"/>
        </w:rPr>
        <w:object w:dxaOrig="660" w:dyaOrig="380">
          <v:shape id="_x0000_i1054" type="#_x0000_t75" style="width:33pt;height:18.75pt" o:ole="">
            <v:imagedata r:id="rId64" o:title=""/>
          </v:shape>
          <o:OLEObject Type="Embed" ProgID="Equation.3" ShapeID="_x0000_i1054" DrawAspect="Content" ObjectID="_1535872898" r:id="rId72"/>
        </w:object>
      </w:r>
      <w:r>
        <w:rPr>
          <w:rFonts w:ascii="Book Antiqua" w:hAnsi="Book Antiqua"/>
        </w:rPr>
        <w:t xml:space="preserve"> parameter for each case). Fig. 4 shows a snapshot of MD simulation of GB particles of different shapes, some of them are charged and some polarized. The increasing of the number of different structures that the GB model can generate opens more opportunities for modeling systems with greater structural complexity.</w:t>
      </w:r>
    </w:p>
    <w:p w:rsidR="00C90DEB" w:rsidRDefault="00C90DEB">
      <w:pPr>
        <w:pStyle w:val="BodyText3"/>
        <w:ind w:right="-180"/>
        <w:rPr>
          <w:rFonts w:ascii="Book Antiqua" w:hAnsi="Book Antiqua"/>
        </w:rPr>
      </w:pPr>
    </w:p>
    <w:p w:rsidR="00C90DEB" w:rsidRDefault="002B1C63">
      <w:pPr>
        <w:pStyle w:val="BodyText3"/>
        <w:ind w:right="-180"/>
        <w:jc w:val="center"/>
        <w:rPr>
          <w:rFonts w:ascii="Book Antiqua" w:hAnsi="Book Antiqua"/>
        </w:rPr>
      </w:pPr>
      <w:r>
        <w:rPr>
          <w:rFonts w:ascii="Book Antiqua" w:hAnsi="Book Antiqua"/>
          <w:noProof/>
        </w:rPr>
        <w:drawing>
          <wp:inline distT="0" distB="0" distL="0" distR="0">
            <wp:extent cx="3514725" cy="1666875"/>
            <wp:effectExtent l="0" t="0" r="9525" b="9525"/>
            <wp:docPr id="36" name="Picture 36" descr="..\..\..\..\..\..\Untitled-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titled-1 copy.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514725" cy="1666875"/>
                    </a:xfrm>
                    <a:prstGeom prst="rect">
                      <a:avLst/>
                    </a:prstGeom>
                    <a:noFill/>
                    <a:ln>
                      <a:noFill/>
                    </a:ln>
                  </pic:spPr>
                </pic:pic>
              </a:graphicData>
            </a:graphic>
          </wp:inline>
        </w:drawing>
      </w:r>
    </w:p>
    <w:p w:rsidR="00C90DEB" w:rsidRDefault="00C90DEB">
      <w:pPr>
        <w:pStyle w:val="BodyText3"/>
        <w:ind w:right="-180"/>
        <w:jc w:val="center"/>
        <w:rPr>
          <w:rFonts w:ascii="Book Antiqua" w:hAnsi="Book Antiqua"/>
        </w:rPr>
      </w:pPr>
    </w:p>
    <w:p w:rsidR="00C90DEB" w:rsidRDefault="0043072C">
      <w:pPr>
        <w:pStyle w:val="BodyText3"/>
        <w:ind w:right="-180"/>
        <w:jc w:val="center"/>
        <w:rPr>
          <w:rFonts w:ascii="Book Antiqua" w:hAnsi="Book Antiqua"/>
        </w:rPr>
      </w:pPr>
      <w:r>
        <w:rPr>
          <w:rFonts w:ascii="Book Antiqua" w:hAnsi="Book Antiqua"/>
        </w:rPr>
        <w:t xml:space="preserve">(a) </w:t>
      </w:r>
      <w:r>
        <w:rPr>
          <w:rFonts w:ascii="Book Antiqua" w:hAnsi="Book Antiqua"/>
          <w:position w:val="-12"/>
        </w:rPr>
        <w:object w:dxaOrig="1219" w:dyaOrig="380">
          <v:shape id="_x0000_i1055" type="#_x0000_t75" style="width:60.75pt;height:18.75pt" o:ole="">
            <v:imagedata r:id="rId74" o:title=""/>
          </v:shape>
          <o:OLEObject Type="Embed" ProgID="Equation.3" ShapeID="_x0000_i1055" DrawAspect="Content" ObjectID="_1535872899" r:id="rId75"/>
        </w:object>
      </w:r>
    </w:p>
    <w:p w:rsidR="00C90DEB" w:rsidRDefault="00C90DEB">
      <w:pPr>
        <w:pStyle w:val="BodyText3"/>
        <w:ind w:right="-180"/>
        <w:jc w:val="center"/>
        <w:rPr>
          <w:rFonts w:ascii="Book Antiqua" w:hAnsi="Book Antiqua"/>
        </w:rPr>
      </w:pPr>
    </w:p>
    <w:p w:rsidR="00C90DEB" w:rsidRDefault="002B1C63">
      <w:pPr>
        <w:pStyle w:val="BodyText3"/>
        <w:ind w:right="-180"/>
        <w:jc w:val="center"/>
        <w:rPr>
          <w:rFonts w:ascii="Book Antiqua" w:hAnsi="Book Antiqua"/>
        </w:rPr>
      </w:pPr>
      <w:r>
        <w:rPr>
          <w:rFonts w:ascii="Book Antiqua" w:hAnsi="Book Antiqua"/>
          <w:noProof/>
        </w:rPr>
        <w:lastRenderedPageBreak/>
        <w:drawing>
          <wp:inline distT="0" distB="0" distL="0" distR="0">
            <wp:extent cx="3371850" cy="1828800"/>
            <wp:effectExtent l="0" t="0" r="0" b="0"/>
            <wp:docPr id="38" name="Picture 38" descr="..\..\..\..\..\..\Untitled-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ntitled-1 copy.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371850" cy="1828800"/>
                    </a:xfrm>
                    <a:prstGeom prst="rect">
                      <a:avLst/>
                    </a:prstGeom>
                    <a:noFill/>
                    <a:ln>
                      <a:noFill/>
                    </a:ln>
                  </pic:spPr>
                </pic:pic>
              </a:graphicData>
            </a:graphic>
          </wp:inline>
        </w:drawing>
      </w:r>
    </w:p>
    <w:p w:rsidR="00C90DEB" w:rsidRDefault="00C90DEB">
      <w:pPr>
        <w:pStyle w:val="BodyText3"/>
        <w:ind w:right="-180"/>
        <w:jc w:val="center"/>
        <w:rPr>
          <w:rFonts w:ascii="Book Antiqua" w:hAnsi="Book Antiqua"/>
        </w:rPr>
      </w:pPr>
    </w:p>
    <w:p w:rsidR="00C90DEB" w:rsidRDefault="0043072C">
      <w:pPr>
        <w:pStyle w:val="BodyText3"/>
        <w:ind w:right="-180"/>
        <w:jc w:val="center"/>
        <w:rPr>
          <w:rFonts w:ascii="Book Antiqua" w:hAnsi="Book Antiqua"/>
        </w:rPr>
      </w:pPr>
      <w:r>
        <w:rPr>
          <w:rFonts w:ascii="Book Antiqua" w:hAnsi="Book Antiqua"/>
        </w:rPr>
        <w:t xml:space="preserve">(b) </w:t>
      </w:r>
      <w:r>
        <w:rPr>
          <w:rFonts w:ascii="Book Antiqua" w:hAnsi="Book Antiqua"/>
          <w:position w:val="-12"/>
        </w:rPr>
        <w:object w:dxaOrig="1160" w:dyaOrig="380">
          <v:shape id="_x0000_i1056" type="#_x0000_t75" style="width:57.75pt;height:18.75pt" o:ole="">
            <v:imagedata r:id="rId77" o:title=""/>
          </v:shape>
          <o:OLEObject Type="Embed" ProgID="Equation.3" ShapeID="_x0000_i1056" DrawAspect="Content" ObjectID="_1535872900" r:id="rId78"/>
        </w:object>
      </w:r>
    </w:p>
    <w:p w:rsidR="00C90DEB" w:rsidRDefault="00C90DEB">
      <w:pPr>
        <w:pStyle w:val="BodyText3"/>
        <w:ind w:right="-180"/>
        <w:jc w:val="center"/>
        <w:rPr>
          <w:rFonts w:ascii="Book Antiqua" w:hAnsi="Book Antiqua"/>
        </w:rPr>
      </w:pPr>
    </w:p>
    <w:p w:rsidR="00C90DEB" w:rsidRDefault="002B1C63">
      <w:pPr>
        <w:pStyle w:val="BodyText3"/>
        <w:ind w:right="-180"/>
        <w:jc w:val="center"/>
        <w:rPr>
          <w:rFonts w:ascii="Book Antiqua" w:hAnsi="Book Antiqua"/>
        </w:rPr>
      </w:pPr>
      <w:r>
        <w:rPr>
          <w:rFonts w:ascii="Book Antiqua" w:hAnsi="Book Antiqua"/>
          <w:noProof/>
        </w:rPr>
        <w:drawing>
          <wp:inline distT="0" distB="0" distL="0" distR="0">
            <wp:extent cx="3143250" cy="1666875"/>
            <wp:effectExtent l="0" t="0" r="0" b="9525"/>
            <wp:docPr id="40" name="Picture 40" descr="..\..\..\..\..\..\Untitled-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ntitled-1 copy.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143250" cy="1666875"/>
                    </a:xfrm>
                    <a:prstGeom prst="rect">
                      <a:avLst/>
                    </a:prstGeom>
                    <a:noFill/>
                    <a:ln>
                      <a:noFill/>
                    </a:ln>
                  </pic:spPr>
                </pic:pic>
              </a:graphicData>
            </a:graphic>
          </wp:inline>
        </w:drawing>
      </w:r>
    </w:p>
    <w:p w:rsidR="00C90DEB" w:rsidRDefault="00C90DEB">
      <w:pPr>
        <w:pStyle w:val="BodyText3"/>
        <w:ind w:right="-180"/>
        <w:jc w:val="center"/>
        <w:rPr>
          <w:rFonts w:ascii="Book Antiqua" w:hAnsi="Book Antiqua"/>
        </w:rPr>
      </w:pPr>
    </w:p>
    <w:p w:rsidR="00C90DEB" w:rsidRDefault="0043072C">
      <w:pPr>
        <w:pStyle w:val="BodyText3"/>
        <w:ind w:right="-180"/>
        <w:jc w:val="center"/>
        <w:rPr>
          <w:rFonts w:ascii="Book Antiqua" w:hAnsi="Book Antiqua"/>
        </w:rPr>
      </w:pPr>
      <w:r>
        <w:rPr>
          <w:rFonts w:ascii="Book Antiqua" w:hAnsi="Book Antiqua"/>
        </w:rPr>
        <w:t xml:space="preserve">(c) </w:t>
      </w:r>
      <w:r>
        <w:rPr>
          <w:rFonts w:ascii="Book Antiqua" w:hAnsi="Book Antiqua"/>
          <w:position w:val="-12"/>
        </w:rPr>
        <w:object w:dxaOrig="1020" w:dyaOrig="380">
          <v:shape id="_x0000_i1057" type="#_x0000_t75" style="width:51pt;height:18.75pt" o:ole="">
            <v:imagedata r:id="rId80" o:title=""/>
          </v:shape>
          <o:OLEObject Type="Embed" ProgID="Equation.3" ShapeID="_x0000_i1057" DrawAspect="Content" ObjectID="_1535872901" r:id="rId81"/>
        </w:object>
      </w:r>
    </w:p>
    <w:p w:rsidR="00C90DEB" w:rsidRDefault="00C90DEB">
      <w:pPr>
        <w:pStyle w:val="BodyText3"/>
        <w:ind w:right="-180"/>
        <w:jc w:val="center"/>
        <w:rPr>
          <w:rFonts w:ascii="Book Antiqua" w:hAnsi="Book Antiqua"/>
        </w:rPr>
      </w:pPr>
    </w:p>
    <w:p w:rsidR="00C90DEB" w:rsidRDefault="0043072C">
      <w:pPr>
        <w:pStyle w:val="BodyText3"/>
        <w:ind w:left="720" w:right="720"/>
        <w:rPr>
          <w:rFonts w:ascii="Book Antiqua" w:hAnsi="Book Antiqua" w:cs="Lucida Sans Unicode"/>
        </w:rPr>
      </w:pPr>
      <w:r>
        <w:rPr>
          <w:rFonts w:ascii="Book Antiqua" w:hAnsi="Book Antiqua"/>
        </w:rPr>
        <w:t>Fig. 3. Three typical structures formed by the GB particles in molecular dynamics simulations: (a) Side-by-side conformation; (b) End-to-end conformation; (c) Disordered conformation.</w:t>
      </w:r>
      <w:r>
        <w:rPr>
          <w:rFonts w:ascii="Book Antiqua" w:hAnsi="Book Antiqua" w:cs="Lucida Sans Unicode"/>
        </w:rPr>
        <w:t xml:space="preserve"> (These images were taken from </w:t>
      </w:r>
      <w:r>
        <w:rPr>
          <w:rFonts w:ascii="Book Antiqua" w:hAnsi="Book Antiqua" w:cs="Lucida Sans Unicode"/>
          <w:i/>
          <w:iCs/>
        </w:rPr>
        <w:t>Molecular Workbench</w:t>
      </w:r>
      <w:r>
        <w:rPr>
          <w:rFonts w:ascii="Book Antiqua" w:hAnsi="Book Antiqua" w:cs="Lucida Sans Unicode"/>
        </w:rPr>
        <w:t xml:space="preserve"> models, which are freely available [1].)</w:t>
      </w:r>
    </w:p>
    <w:p w:rsidR="00C90DEB" w:rsidRDefault="00C90DEB">
      <w:pPr>
        <w:pStyle w:val="BodyText3"/>
        <w:ind w:left="720" w:right="720"/>
        <w:rPr>
          <w:rFonts w:ascii="Book Antiqua" w:hAnsi="Book Antiqua"/>
        </w:rPr>
      </w:pPr>
    </w:p>
    <w:p w:rsidR="00C90DEB" w:rsidRDefault="00C90DEB">
      <w:pPr>
        <w:pStyle w:val="BodyText3"/>
        <w:ind w:left="720" w:right="720"/>
        <w:rPr>
          <w:rFonts w:ascii="Book Antiqua" w:hAnsi="Book Antiqua"/>
        </w:rPr>
      </w:pPr>
    </w:p>
    <w:p w:rsidR="00C90DEB" w:rsidRDefault="002B1C63">
      <w:pPr>
        <w:pStyle w:val="BodyText3"/>
        <w:ind w:right="-180"/>
        <w:jc w:val="center"/>
        <w:rPr>
          <w:rFonts w:ascii="Book Antiqua" w:hAnsi="Book Antiqua"/>
          <w:b/>
          <w:bCs/>
          <w:sz w:val="24"/>
        </w:rPr>
      </w:pPr>
      <w:r>
        <w:rPr>
          <w:rFonts w:ascii="Book Antiqua" w:hAnsi="Book Antiqua"/>
          <w:b/>
          <w:bCs/>
          <w:noProof/>
          <w:sz w:val="24"/>
        </w:rPr>
        <w:drawing>
          <wp:inline distT="0" distB="0" distL="0" distR="0">
            <wp:extent cx="3752850" cy="2028825"/>
            <wp:effectExtent l="0" t="0" r="0" b="9525"/>
            <wp:docPr id="42" name="Picture 42" descr="..\..\..\..\..\..\Untitled-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titled-1 copy.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752850" cy="2028825"/>
                    </a:xfrm>
                    <a:prstGeom prst="rect">
                      <a:avLst/>
                    </a:prstGeom>
                    <a:noFill/>
                    <a:ln>
                      <a:noFill/>
                    </a:ln>
                  </pic:spPr>
                </pic:pic>
              </a:graphicData>
            </a:graphic>
          </wp:inline>
        </w:drawing>
      </w:r>
    </w:p>
    <w:p w:rsidR="00C90DEB" w:rsidRDefault="00C90DEB">
      <w:pPr>
        <w:pStyle w:val="BodyText3"/>
        <w:ind w:right="-180"/>
        <w:jc w:val="center"/>
        <w:rPr>
          <w:rFonts w:ascii="Book Antiqua" w:hAnsi="Book Antiqua"/>
          <w:b/>
          <w:bCs/>
          <w:sz w:val="24"/>
        </w:rPr>
      </w:pPr>
    </w:p>
    <w:p w:rsidR="00C90DEB" w:rsidRDefault="0043072C">
      <w:pPr>
        <w:pStyle w:val="BodyText3"/>
        <w:ind w:left="720" w:right="720"/>
        <w:rPr>
          <w:rFonts w:ascii="Book Antiqua" w:hAnsi="Book Antiqua"/>
          <w:b/>
          <w:bCs/>
          <w:sz w:val="24"/>
        </w:rPr>
      </w:pPr>
      <w:r>
        <w:rPr>
          <w:rFonts w:ascii="Book Antiqua" w:hAnsi="Book Antiqua"/>
        </w:rPr>
        <w:t xml:space="preserve">Fig. 4. A snapshot of a molecular dynamics simulation for GB particles of different shapes shows a structural pattern very different from the close-packed one </w:t>
      </w:r>
      <w:r>
        <w:rPr>
          <w:rFonts w:ascii="Book Antiqua" w:hAnsi="Book Antiqua"/>
        </w:rPr>
        <w:lastRenderedPageBreak/>
        <w:t>preferred by the LJ particles.</w:t>
      </w:r>
      <w:r>
        <w:rPr>
          <w:rFonts w:ascii="Book Antiqua" w:hAnsi="Book Antiqua" w:cs="Lucida Sans Unicode"/>
        </w:rPr>
        <w:t xml:space="preserve"> The arrows on the GB particles stand for electric dipole moments (pointing from the positive end to the negative end). The plus and minus signs represent positive and negative charges. (This image was taken from the </w:t>
      </w:r>
      <w:r>
        <w:rPr>
          <w:rFonts w:ascii="Book Antiqua" w:hAnsi="Book Antiqua" w:cs="Lucida Sans Unicode"/>
          <w:i/>
          <w:iCs/>
        </w:rPr>
        <w:t>Molecular Workbench</w:t>
      </w:r>
      <w:r>
        <w:rPr>
          <w:rFonts w:ascii="Book Antiqua" w:hAnsi="Book Antiqua" w:cs="Lucida Sans Unicode"/>
        </w:rPr>
        <w:t xml:space="preserve"> software, which is freely available [1].)</w:t>
      </w:r>
    </w:p>
    <w:p w:rsidR="00C90DEB" w:rsidRDefault="00C90DEB">
      <w:pPr>
        <w:pStyle w:val="BodyText3"/>
        <w:ind w:right="-180"/>
        <w:rPr>
          <w:rFonts w:ascii="Book Antiqua" w:hAnsi="Book Antiqua"/>
          <w:b/>
          <w:bCs/>
          <w:sz w:val="24"/>
        </w:rPr>
      </w:pPr>
    </w:p>
    <w:p w:rsidR="00C90DEB" w:rsidRDefault="0043072C">
      <w:pPr>
        <w:pStyle w:val="BodyText3"/>
        <w:ind w:right="-180"/>
        <w:rPr>
          <w:rFonts w:ascii="Book Antiqua" w:hAnsi="Book Antiqua"/>
          <w:b/>
          <w:bCs/>
          <w:sz w:val="24"/>
        </w:rPr>
      </w:pPr>
      <w:r>
        <w:rPr>
          <w:rFonts w:ascii="Book Antiqua" w:hAnsi="Book Antiqua"/>
          <w:b/>
          <w:bCs/>
          <w:sz w:val="24"/>
        </w:rPr>
        <w:t>Two-dimensional soft bodies in arbitrary shapes</w:t>
      </w:r>
    </w:p>
    <w:p w:rsidR="00C90DEB" w:rsidRDefault="00C90DEB">
      <w:pPr>
        <w:pStyle w:val="BodyText3"/>
        <w:ind w:right="-180"/>
        <w:rPr>
          <w:rFonts w:ascii="Book Antiqua" w:hAnsi="Book Antiqua"/>
        </w:rPr>
      </w:pPr>
    </w:p>
    <w:p w:rsidR="00C90DEB" w:rsidRDefault="0043072C">
      <w:pPr>
        <w:ind w:right="-187"/>
        <w:jc w:val="both"/>
        <w:rPr>
          <w:rFonts w:ascii="Book Antiqua" w:hAnsi="Book Antiqua"/>
          <w:sz w:val="20"/>
          <w:szCs w:val="14"/>
        </w:rPr>
      </w:pPr>
      <w:r>
        <w:rPr>
          <w:rFonts w:ascii="Book Antiqua" w:hAnsi="Book Antiqua"/>
          <w:sz w:val="20"/>
          <w:szCs w:val="14"/>
        </w:rPr>
        <w:t>The GB potential is the only model, to our best knowledge, that is capable of simulating non-spherical interacting particles. It is, however, limited to modeling only elliptical particles. To build useful models for molecular biology without having to use full ball-and-stick representations of macromolecules, interacting objects that have arbitrary shapes are needed.</w:t>
      </w:r>
    </w:p>
    <w:p w:rsidR="00C90DEB" w:rsidRDefault="00C90DEB">
      <w:pPr>
        <w:ind w:right="-187"/>
        <w:jc w:val="both"/>
        <w:rPr>
          <w:rFonts w:ascii="Book Antiqua" w:hAnsi="Book Antiqua"/>
          <w:sz w:val="20"/>
          <w:szCs w:val="14"/>
        </w:rPr>
      </w:pPr>
    </w:p>
    <w:p w:rsidR="00C90DEB" w:rsidRDefault="0043072C">
      <w:pPr>
        <w:ind w:right="-187"/>
        <w:jc w:val="both"/>
        <w:rPr>
          <w:rFonts w:ascii="Book Antiqua" w:hAnsi="Book Antiqua"/>
          <w:sz w:val="20"/>
        </w:rPr>
      </w:pPr>
      <w:r>
        <w:rPr>
          <w:rFonts w:ascii="Book Antiqua" w:hAnsi="Book Antiqua"/>
          <w:sz w:val="20"/>
          <w:szCs w:val="14"/>
        </w:rPr>
        <w:t xml:space="preserve">Recognizing the difficulty in deriving an analytical model for interacting particles in arbitrary shapes that is also computationally efficient, we took a different approach. We developed a drawing tool in </w:t>
      </w:r>
      <w:r>
        <w:rPr>
          <w:rFonts w:ascii="Book Antiqua" w:hAnsi="Book Antiqua"/>
          <w:i/>
          <w:iCs/>
          <w:sz w:val="20"/>
          <w:szCs w:val="14"/>
        </w:rPr>
        <w:t>Molecular Workbench</w:t>
      </w:r>
      <w:r>
        <w:rPr>
          <w:rFonts w:ascii="Book Antiqua" w:hAnsi="Book Antiqua"/>
          <w:sz w:val="20"/>
          <w:szCs w:val="14"/>
        </w:rPr>
        <w:t>, which permits users to draw arbitrary non-self-intersected open and closed shapes, such as rectangles, ellipses, cubic splines, or free-form lines. When the user finishes drawing a shape, LJ particles with appropriate size are automatically aligned along the line (if the shape is open), or along the border (if the shape is closed), to its full length. After the particle alignment is done, har</w:t>
      </w:r>
      <w:r>
        <w:rPr>
          <w:rFonts w:ascii="Book Antiqua" w:hAnsi="Book Antiqua"/>
          <w:sz w:val="20"/>
        </w:rPr>
        <w:t xml:space="preserve">monic forces are used to connect the aligned LJ particles in radial and angular directions, to combine them into a single object. </w:t>
      </w:r>
      <w:r>
        <w:rPr>
          <w:rFonts w:ascii="Book Antiqua" w:hAnsi="Book Antiqua"/>
          <w:sz w:val="20"/>
          <w:szCs w:val="14"/>
        </w:rPr>
        <w:t>Such an object</w:t>
      </w:r>
      <w:r>
        <w:rPr>
          <w:rFonts w:ascii="Book Antiqua" w:eastAsia="Arial Unicode MS" w:hAnsi="Book Antiqua" w:cs="Arial Unicode MS"/>
          <w:sz w:val="20"/>
          <w:szCs w:val="14"/>
        </w:rPr>
        <w:t xml:space="preserve"> </w:t>
      </w:r>
      <w:r>
        <w:rPr>
          <w:rFonts w:ascii="Book Antiqua" w:hAnsi="Book Antiqua"/>
          <w:sz w:val="20"/>
          <w:szCs w:val="14"/>
        </w:rPr>
        <w:t xml:space="preserve">has a van der Waals surface that can attract (and be attracted to) other similar objects or LJ particles. It has also a border that is formed by the repulsive core of the LJ potential to prevent overlaps with another object or a LJ particle. If an atomic probe were used to scan over the border, an enveloping shape would be obtained, because the repulsive cores bounce back the probe. In molecular biology, such an enveloping shape generated by a real or hypothetical probe is called a molecular surface (e.g. electronic density map by a scanning tunneling microscope or solvent accessible surface by a hypothetical solvent molecule). Hence, we call this type of object the </w:t>
      </w:r>
      <w:r>
        <w:rPr>
          <w:rFonts w:ascii="Book Antiqua" w:hAnsi="Book Antiqua"/>
          <w:i/>
          <w:iCs/>
          <w:sz w:val="20"/>
          <w:szCs w:val="14"/>
        </w:rPr>
        <w:t>molecular surface object</w:t>
      </w:r>
      <w:r>
        <w:rPr>
          <w:rFonts w:ascii="Book Antiqua" w:hAnsi="Book Antiqua"/>
          <w:sz w:val="20"/>
          <w:szCs w:val="14"/>
        </w:rPr>
        <w:t xml:space="preserve"> (MSO).</w:t>
      </w:r>
    </w:p>
    <w:p w:rsidR="00C90DEB" w:rsidRDefault="00C90DEB">
      <w:pPr>
        <w:ind w:right="-187"/>
        <w:jc w:val="both"/>
        <w:rPr>
          <w:rFonts w:ascii="Book Antiqua" w:hAnsi="Book Antiqua"/>
          <w:sz w:val="20"/>
        </w:rPr>
      </w:pPr>
    </w:p>
    <w:p w:rsidR="00C90DEB" w:rsidRDefault="0043072C">
      <w:pPr>
        <w:ind w:right="-187"/>
        <w:jc w:val="both"/>
        <w:rPr>
          <w:rFonts w:ascii="Book Antiqua" w:hAnsi="Book Antiqua"/>
          <w:sz w:val="20"/>
        </w:rPr>
      </w:pPr>
      <w:r>
        <w:rPr>
          <w:rFonts w:ascii="Book Antiqua" w:hAnsi="Book Antiqua"/>
          <w:sz w:val="20"/>
        </w:rPr>
        <w:t xml:space="preserve">Fig. 5 shows the scanning results of </w:t>
      </w:r>
      <w:proofErr w:type="spellStart"/>
      <w:r>
        <w:rPr>
          <w:rFonts w:ascii="Book Antiqua" w:hAnsi="Book Antiqua"/>
          <w:sz w:val="20"/>
        </w:rPr>
        <w:t>equi</w:t>
      </w:r>
      <w:proofErr w:type="spellEnd"/>
      <w:r>
        <w:rPr>
          <w:rFonts w:ascii="Book Antiqua" w:hAnsi="Book Antiqua"/>
          <w:sz w:val="20"/>
        </w:rPr>
        <w:t>-potential contours of some MSOs using a LJ particle as a probe. The buckling of the contour lines near to the objects reflects the existence of the LJ particles behind the scene (as shown by the dashed circles in Fig. 5b).</w:t>
      </w:r>
    </w:p>
    <w:p w:rsidR="00C90DEB" w:rsidRDefault="00C90DEB">
      <w:pPr>
        <w:ind w:right="-187"/>
        <w:jc w:val="both"/>
        <w:rPr>
          <w:rFonts w:ascii="Book Antiqua" w:hAnsi="Book Antiqua"/>
          <w:sz w:val="20"/>
        </w:rPr>
      </w:pPr>
    </w:p>
    <w:p w:rsidR="00C90DEB" w:rsidRDefault="002B1C63">
      <w:pPr>
        <w:ind w:right="-187"/>
        <w:jc w:val="center"/>
        <w:rPr>
          <w:rFonts w:ascii="Book Antiqua" w:hAnsi="Book Antiqua"/>
          <w:sz w:val="20"/>
        </w:rPr>
      </w:pPr>
      <w:r>
        <w:rPr>
          <w:rFonts w:ascii="Book Antiqua" w:hAnsi="Book Antiqua"/>
          <w:noProof/>
          <w:sz w:val="20"/>
        </w:rPr>
        <w:drawing>
          <wp:inline distT="0" distB="0" distL="0" distR="0">
            <wp:extent cx="1905000" cy="1924050"/>
            <wp:effectExtent l="0" t="0" r="0" b="0"/>
            <wp:docPr id="43" name="Picture 43" descr="..\..\..\..\..\..\Untitled-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titled-1 copy.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905000" cy="1924050"/>
                    </a:xfrm>
                    <a:prstGeom prst="rect">
                      <a:avLst/>
                    </a:prstGeom>
                    <a:noFill/>
                    <a:ln>
                      <a:noFill/>
                    </a:ln>
                  </pic:spPr>
                </pic:pic>
              </a:graphicData>
            </a:graphic>
          </wp:inline>
        </w:drawing>
      </w:r>
      <w:r w:rsidR="0043072C">
        <w:rPr>
          <w:rFonts w:ascii="Book Antiqua" w:hAnsi="Book Antiqua"/>
          <w:sz w:val="20"/>
        </w:rPr>
        <w:t xml:space="preserve">   (a) </w:t>
      </w:r>
      <w:r>
        <w:rPr>
          <w:rFonts w:ascii="Book Antiqua" w:hAnsi="Book Antiqua"/>
          <w:noProof/>
          <w:sz w:val="20"/>
        </w:rPr>
        <w:drawing>
          <wp:inline distT="0" distB="0" distL="0" distR="0">
            <wp:extent cx="1885950" cy="1885950"/>
            <wp:effectExtent l="0" t="0" r="0" b="0"/>
            <wp:docPr id="44" name="Picture 44" descr="..\..\..\..\..\..\Untitled-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ntitled-1 copy.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rsidR="0043072C">
        <w:rPr>
          <w:rFonts w:ascii="Book Antiqua" w:hAnsi="Book Antiqua"/>
          <w:sz w:val="20"/>
        </w:rPr>
        <w:t>(</w:t>
      </w:r>
      <w:proofErr w:type="gramStart"/>
      <w:r w:rsidR="0043072C">
        <w:rPr>
          <w:rFonts w:ascii="Book Antiqua" w:hAnsi="Book Antiqua"/>
          <w:sz w:val="20"/>
        </w:rPr>
        <w:t>b</w:t>
      </w:r>
      <w:proofErr w:type="gramEnd"/>
      <w:r w:rsidR="0043072C">
        <w:rPr>
          <w:rFonts w:ascii="Book Antiqua" w:hAnsi="Book Antiqua"/>
          <w:sz w:val="20"/>
        </w:rPr>
        <w:t>)</w:t>
      </w:r>
    </w:p>
    <w:p w:rsidR="00C90DEB" w:rsidRDefault="0043072C">
      <w:pPr>
        <w:ind w:right="-187"/>
        <w:jc w:val="center"/>
        <w:rPr>
          <w:rFonts w:ascii="Book Antiqua" w:hAnsi="Book Antiqua"/>
          <w:sz w:val="20"/>
        </w:rPr>
      </w:pPr>
      <w:r>
        <w:rPr>
          <w:rFonts w:ascii="Book Antiqua" w:hAnsi="Book Antiqua"/>
          <w:sz w:val="20"/>
        </w:rPr>
        <w:lastRenderedPageBreak/>
        <w:t xml:space="preserve"> </w:t>
      </w:r>
      <w:r w:rsidR="002B1C63">
        <w:rPr>
          <w:rFonts w:ascii="Book Antiqua" w:hAnsi="Book Antiqua"/>
          <w:noProof/>
          <w:sz w:val="20"/>
        </w:rPr>
        <w:drawing>
          <wp:inline distT="0" distB="0" distL="0" distR="0">
            <wp:extent cx="2647950" cy="1790700"/>
            <wp:effectExtent l="0" t="0" r="0" b="0"/>
            <wp:docPr id="45" name="Picture 45" descr="..\..\..\..\..\..\Untitled-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ntitled-1 copy.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647950" cy="1790700"/>
                    </a:xfrm>
                    <a:prstGeom prst="rect">
                      <a:avLst/>
                    </a:prstGeom>
                    <a:noFill/>
                    <a:ln>
                      <a:noFill/>
                    </a:ln>
                  </pic:spPr>
                </pic:pic>
              </a:graphicData>
            </a:graphic>
          </wp:inline>
        </w:drawing>
      </w:r>
      <w:r>
        <w:rPr>
          <w:rFonts w:ascii="Book Antiqua" w:hAnsi="Book Antiqua"/>
          <w:sz w:val="20"/>
        </w:rPr>
        <w:t>(c)</w:t>
      </w:r>
    </w:p>
    <w:p w:rsidR="00C90DEB" w:rsidRDefault="00C90DEB">
      <w:pPr>
        <w:pStyle w:val="BodyText3"/>
        <w:ind w:left="720" w:right="720"/>
        <w:rPr>
          <w:rFonts w:ascii="Book Antiqua" w:hAnsi="Book Antiqua"/>
        </w:rPr>
      </w:pPr>
    </w:p>
    <w:p w:rsidR="00C90DEB" w:rsidRDefault="0043072C">
      <w:pPr>
        <w:pStyle w:val="BodyText3"/>
        <w:ind w:left="720" w:right="720"/>
        <w:rPr>
          <w:rFonts w:ascii="Book Antiqua" w:hAnsi="Book Antiqua"/>
          <w:b/>
          <w:bCs/>
          <w:sz w:val="24"/>
        </w:rPr>
      </w:pPr>
      <w:r>
        <w:rPr>
          <w:rFonts w:ascii="Book Antiqua" w:hAnsi="Book Antiqua"/>
        </w:rPr>
        <w:t xml:space="preserve">Fig. 5. </w:t>
      </w:r>
      <w:proofErr w:type="spellStart"/>
      <w:r>
        <w:rPr>
          <w:rFonts w:ascii="Book Antiqua" w:hAnsi="Book Antiqua"/>
        </w:rPr>
        <w:t>Equi</w:t>
      </w:r>
      <w:proofErr w:type="spellEnd"/>
      <w:r>
        <w:rPr>
          <w:rFonts w:ascii="Book Antiqua" w:hAnsi="Book Antiqua"/>
        </w:rPr>
        <w:t>-potential contour plots of some molecular surface objects</w:t>
      </w:r>
      <w:r>
        <w:rPr>
          <w:rFonts w:ascii="Book Antiqua" w:hAnsi="Book Antiqua" w:cs="Lucida Sans Unicode"/>
        </w:rPr>
        <w:t xml:space="preserve">. The first one can be thought of as a “giant” Lennard-Jones particle. The second object has a potential energy well that can store other molecules. The third one forms a shallower “pocket” that can bind other objects. (These images were made using the </w:t>
      </w:r>
      <w:r>
        <w:rPr>
          <w:rFonts w:ascii="Book Antiqua" w:hAnsi="Book Antiqua" w:cs="Lucida Sans Unicode"/>
          <w:i/>
          <w:iCs/>
        </w:rPr>
        <w:t>Molecular Workbench</w:t>
      </w:r>
      <w:r>
        <w:rPr>
          <w:rFonts w:ascii="Book Antiqua" w:hAnsi="Book Antiqua" w:cs="Lucida Sans Unicode"/>
        </w:rPr>
        <w:t xml:space="preserve"> software, which is freely available [1].)</w:t>
      </w:r>
    </w:p>
    <w:p w:rsidR="00C90DEB" w:rsidRDefault="00C90DEB">
      <w:pPr>
        <w:ind w:right="-187"/>
        <w:jc w:val="both"/>
        <w:rPr>
          <w:rFonts w:ascii="Book Antiqua" w:hAnsi="Book Antiqua"/>
          <w:sz w:val="20"/>
        </w:rPr>
      </w:pPr>
    </w:p>
    <w:p w:rsidR="00C90DEB" w:rsidRDefault="0043072C">
      <w:pPr>
        <w:ind w:right="-187"/>
        <w:jc w:val="both"/>
        <w:rPr>
          <w:rFonts w:ascii="Book Antiqua" w:hAnsi="Book Antiqua"/>
          <w:sz w:val="20"/>
        </w:rPr>
      </w:pPr>
      <w:r>
        <w:rPr>
          <w:rFonts w:ascii="Book Antiqua" w:hAnsi="Book Antiqua"/>
          <w:sz w:val="20"/>
        </w:rPr>
        <w:t>A MSO is not a rigid body. Its shape vibrates, and can be distorted. The harmonic forces used to bind the LJ particles form a “spring chain” that maintains the shape. The rigidity of the shape rests on the strength of the harmonic forces. If the harmonic forces are infinitely strong, it will become a rigid body.</w:t>
      </w:r>
    </w:p>
    <w:p w:rsidR="00C90DEB" w:rsidRDefault="00C90DEB">
      <w:pPr>
        <w:ind w:right="-187"/>
        <w:jc w:val="both"/>
        <w:rPr>
          <w:rFonts w:ascii="Book Antiqua" w:hAnsi="Book Antiqua"/>
          <w:sz w:val="20"/>
        </w:rPr>
      </w:pPr>
    </w:p>
    <w:p w:rsidR="00C90DEB" w:rsidRDefault="0043072C">
      <w:pPr>
        <w:ind w:right="-187"/>
        <w:jc w:val="both"/>
        <w:rPr>
          <w:rFonts w:ascii="Book Antiqua" w:hAnsi="Book Antiqua"/>
          <w:sz w:val="20"/>
        </w:rPr>
      </w:pPr>
      <w:r>
        <w:rPr>
          <w:rFonts w:ascii="Book Antiqua" w:hAnsi="Book Antiqua"/>
          <w:sz w:val="20"/>
        </w:rPr>
        <w:t>If the whole shape is rigid enough, the translation and rotation of a MSO can still be approximately depicted by its mass and inertia, which are given by the total mass of its LJ particles and determined by the distribution of the masses of LJ particles, respectively. For example, in a collision event, the heavier MSO moves less. This is because the effect of a local interaction, e.g. an impact, can be rapidly propagated through the “spring chain” that connects the affected LJ particles with others, which subsequently results in a net effect of the whole object. The net effect becomes less significant if the “spring chain” is more flexible and can fluctuate more to absorb the impact energy. In that case, the inelastic behavior will be more significant. In other words, more kinetic energy will be converted into the internal vibrational energy of the MSO and less to the translational energy of the center of mass.</w:t>
      </w:r>
    </w:p>
    <w:p w:rsidR="00C90DEB" w:rsidRDefault="00C90DEB">
      <w:pPr>
        <w:ind w:right="-187"/>
        <w:jc w:val="both"/>
        <w:rPr>
          <w:rFonts w:ascii="Book Antiqua" w:hAnsi="Book Antiqua"/>
          <w:sz w:val="20"/>
        </w:rPr>
      </w:pPr>
    </w:p>
    <w:p w:rsidR="00C90DEB" w:rsidRDefault="0043072C">
      <w:pPr>
        <w:ind w:right="-187"/>
        <w:jc w:val="both"/>
        <w:rPr>
          <w:rFonts w:ascii="Book Antiqua" w:hAnsi="Book Antiqua"/>
          <w:sz w:val="20"/>
        </w:rPr>
      </w:pPr>
      <w:r>
        <w:rPr>
          <w:rFonts w:ascii="Book Antiqua" w:hAnsi="Book Antiqua"/>
          <w:sz w:val="20"/>
        </w:rPr>
        <w:t>Although LJ particles and harmonic forces are used to maintain the shape of a MSO in a MD simulation, an opaque enveloping geometric object is always used to cover them to prevent misunderstanding. To an end user, a MSO is just a soft interacting object that can have an irregular shape, and can be charged at different spots. The user should not be confused with the underlying LJ particles, which are used merely for constructing the object and have no implication of real structure.</w:t>
      </w:r>
    </w:p>
    <w:p w:rsidR="00C90DEB" w:rsidRDefault="00C90DEB">
      <w:pPr>
        <w:ind w:right="-187"/>
        <w:jc w:val="both"/>
        <w:rPr>
          <w:rFonts w:ascii="Book Antiqua" w:hAnsi="Book Antiqua"/>
          <w:sz w:val="20"/>
        </w:rPr>
      </w:pPr>
    </w:p>
    <w:p w:rsidR="00C90DEB" w:rsidRDefault="0043072C">
      <w:pPr>
        <w:ind w:right="-187"/>
        <w:jc w:val="both"/>
        <w:rPr>
          <w:rFonts w:ascii="Book Antiqua" w:hAnsi="Book Antiqua"/>
          <w:sz w:val="20"/>
        </w:rPr>
      </w:pPr>
      <w:r>
        <w:rPr>
          <w:rFonts w:ascii="Book Antiqua" w:hAnsi="Book Antiqua"/>
          <w:sz w:val="20"/>
        </w:rPr>
        <w:t>The MSO model offers a much-simplified way to model ensembles of macromolecules. It catches the essential idea that the surface of a macromolecule is generally far more important than the interior in facilitating intermolecular interactions and active site reactions. The complete neglect of the inner part of a closed-form object (i.e. a hollow MSO) not only saves a lot of computing time that would have been spent on calculating the motion of atoms and bonds belonging to that region if they were considered, but also results in a straightforward view of the science being taught. For example, a MD simulation for the intermolecular interactions of macromolecules in aqueous solution, in which the macromolecules are represented by MSOs (see Fig. 6), shows clearly the interactions between the charged sites and water molecules around them.</w:t>
      </w:r>
    </w:p>
    <w:p w:rsidR="00C90DEB" w:rsidRDefault="00C90DEB">
      <w:pPr>
        <w:ind w:right="-187"/>
        <w:rPr>
          <w:rFonts w:ascii="Book Antiqua" w:hAnsi="Book Antiqua"/>
          <w:sz w:val="20"/>
        </w:rPr>
      </w:pPr>
    </w:p>
    <w:p w:rsidR="00C90DEB" w:rsidRDefault="002B1C63">
      <w:pPr>
        <w:ind w:right="-187"/>
        <w:jc w:val="center"/>
        <w:rPr>
          <w:rFonts w:ascii="Book Antiqua" w:hAnsi="Book Antiqua"/>
          <w:sz w:val="20"/>
        </w:rPr>
      </w:pPr>
      <w:r>
        <w:rPr>
          <w:rFonts w:ascii="Book Antiqua" w:hAnsi="Book Antiqua"/>
          <w:noProof/>
          <w:sz w:val="20"/>
        </w:rPr>
        <w:lastRenderedPageBreak/>
        <w:drawing>
          <wp:inline distT="0" distB="0" distL="0" distR="0">
            <wp:extent cx="5505450" cy="2581275"/>
            <wp:effectExtent l="0" t="0" r="0" b="9525"/>
            <wp:docPr id="46" name="Picture 46" descr="..\..\..\..\..\..\Untitled-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ntitled-1 copy.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505450" cy="2581275"/>
                    </a:xfrm>
                    <a:prstGeom prst="rect">
                      <a:avLst/>
                    </a:prstGeom>
                    <a:noFill/>
                    <a:ln>
                      <a:noFill/>
                    </a:ln>
                  </pic:spPr>
                </pic:pic>
              </a:graphicData>
            </a:graphic>
          </wp:inline>
        </w:drawing>
      </w:r>
    </w:p>
    <w:p w:rsidR="00C90DEB" w:rsidRDefault="00C90DEB">
      <w:pPr>
        <w:ind w:right="-187"/>
        <w:jc w:val="center"/>
        <w:rPr>
          <w:rFonts w:ascii="Book Antiqua" w:hAnsi="Book Antiqua"/>
          <w:sz w:val="20"/>
        </w:rPr>
      </w:pPr>
    </w:p>
    <w:p w:rsidR="00C90DEB" w:rsidRDefault="0043072C">
      <w:pPr>
        <w:pStyle w:val="BodyText3"/>
        <w:ind w:left="720" w:right="720"/>
        <w:rPr>
          <w:rFonts w:ascii="Book Antiqua" w:hAnsi="Book Antiqua"/>
          <w:b/>
          <w:bCs/>
          <w:sz w:val="24"/>
        </w:rPr>
      </w:pPr>
      <w:r>
        <w:rPr>
          <w:rFonts w:ascii="Book Antiqua" w:hAnsi="Book Antiqua"/>
        </w:rPr>
        <w:t xml:space="preserve">Fig. 6. A screenshot of molecular dynamics simulation of intermolecular interactions in aqueous solution is shown. The smaller circles represent hydrogen atoms, the bigger ones oxygen atoms, and the two large objects stands for certain macromolecules. The plus and minus signs on the large objects are the charges that make them polar. The dotted lines show the hydrogen bonds. A real-time molecular dynamics simulation will show that with this setting, the water molecules will move around, but the two macromolecules are always surrounded by water molecules near the charged sites, and they will finally reach each other and expel much water originally distributed between them (the effective interaction between two solvated molecules is called the potential of mean force, a useful concept used by chemists to describe reactions in solution). Such a simulation may help students understand how water mediates chemical reactions between proteins. </w:t>
      </w:r>
      <w:r>
        <w:rPr>
          <w:rFonts w:ascii="Book Antiqua" w:hAnsi="Book Antiqua" w:cs="Lucida Sans Unicode"/>
        </w:rPr>
        <w:t xml:space="preserve">(This image was taken from the </w:t>
      </w:r>
      <w:r>
        <w:rPr>
          <w:rFonts w:ascii="Book Antiqua" w:hAnsi="Book Antiqua" w:cs="Lucida Sans Unicode"/>
          <w:i/>
          <w:iCs/>
        </w:rPr>
        <w:t>Molecular Workbench</w:t>
      </w:r>
      <w:r>
        <w:rPr>
          <w:rFonts w:ascii="Book Antiqua" w:hAnsi="Book Antiqua" w:cs="Lucida Sans Unicode"/>
        </w:rPr>
        <w:t xml:space="preserve"> software, which is freely available [1].)</w:t>
      </w:r>
    </w:p>
    <w:p w:rsidR="00C90DEB" w:rsidRDefault="00C90DEB">
      <w:pPr>
        <w:pStyle w:val="BlockText"/>
      </w:pPr>
    </w:p>
    <w:p w:rsidR="00C90DEB" w:rsidRDefault="00C90DEB">
      <w:pPr>
        <w:ind w:right="-187"/>
        <w:jc w:val="center"/>
        <w:rPr>
          <w:rFonts w:ascii="Book Antiqua" w:hAnsi="Book Antiqua"/>
          <w:sz w:val="20"/>
        </w:rPr>
      </w:pPr>
    </w:p>
    <w:p w:rsidR="00C90DEB" w:rsidRDefault="0043072C">
      <w:pPr>
        <w:ind w:right="-187"/>
        <w:jc w:val="both"/>
        <w:rPr>
          <w:rFonts w:ascii="Book Antiqua" w:hAnsi="Book Antiqua"/>
          <w:sz w:val="20"/>
        </w:rPr>
      </w:pPr>
      <w:r>
        <w:rPr>
          <w:rFonts w:ascii="Book Antiqua" w:hAnsi="Book Antiqua"/>
          <w:sz w:val="20"/>
        </w:rPr>
        <w:t>The MSOs can be used to easily create simple models that demonstrate complicated ideas. For example, Fig. 7 illustrates a ligand-protein binding simulation (docking). This simulation shows a successful docking. By varying the model, students can discover the two most important factors in molecular recognition: attractive interactions between sites and shape complementarities. For example, if either one of the charges (or both) are removed, docking may not happen, or happen much more slowly (due to the weak van der Waals interactions between the complementary shapes, they may still have some chance to get together). If the shape compatibility is broken, for instance, the ligand is made much larger than the cavity can accommodate, docking will never happen.</w:t>
      </w:r>
    </w:p>
    <w:p w:rsidR="00C90DEB" w:rsidRDefault="00C90DEB">
      <w:pPr>
        <w:ind w:right="-187"/>
        <w:jc w:val="both"/>
        <w:rPr>
          <w:rFonts w:ascii="Book Antiqua" w:hAnsi="Book Antiqua"/>
          <w:sz w:val="20"/>
        </w:rPr>
      </w:pPr>
    </w:p>
    <w:p w:rsidR="00C90DEB" w:rsidRDefault="0043072C">
      <w:pPr>
        <w:ind w:right="-187"/>
        <w:jc w:val="both"/>
        <w:rPr>
          <w:rFonts w:ascii="Book Antiqua" w:hAnsi="Book Antiqua"/>
          <w:sz w:val="20"/>
        </w:rPr>
      </w:pPr>
      <w:r>
        <w:rPr>
          <w:rFonts w:ascii="Book Antiqua" w:hAnsi="Book Antiqua"/>
          <w:sz w:val="20"/>
        </w:rPr>
        <w:t>Fig. 7 demonstrates also the difference between using a soft body and using a rigid body. If the ligand and protein were modeled using rigid bodies, as those in Interactive Physics [5], docking would not have occurred if the cavity were slightly smaller than the ligand. But because MSOs are flexible, they are able to yield to the pulling electrostatic force between the charges on them to make docking happen. This advantage makes the MSO model a good candidate for building models to illustrate the induced-fit process of enzyme action, in which the enzyme changes its shape slightly to fit and hold the substrates so that the chemical reaction can be catalyzed more easily.</w:t>
      </w:r>
    </w:p>
    <w:p w:rsidR="00C90DEB" w:rsidRDefault="00C90DEB">
      <w:pPr>
        <w:ind w:right="-187"/>
        <w:jc w:val="center"/>
        <w:rPr>
          <w:rFonts w:ascii="Book Antiqua" w:hAnsi="Book Antiqua"/>
          <w:sz w:val="20"/>
        </w:rPr>
      </w:pPr>
    </w:p>
    <w:p w:rsidR="00C90DEB" w:rsidRDefault="002B1C63">
      <w:pPr>
        <w:ind w:right="-187"/>
        <w:jc w:val="center"/>
        <w:rPr>
          <w:rFonts w:ascii="Book Antiqua" w:hAnsi="Book Antiqua"/>
          <w:sz w:val="20"/>
        </w:rPr>
      </w:pPr>
      <w:r>
        <w:rPr>
          <w:rFonts w:ascii="Book Antiqua" w:hAnsi="Book Antiqua"/>
          <w:noProof/>
          <w:sz w:val="20"/>
        </w:rPr>
        <w:lastRenderedPageBreak/>
        <w:drawing>
          <wp:inline distT="0" distB="0" distL="0" distR="0">
            <wp:extent cx="2886075" cy="2552700"/>
            <wp:effectExtent l="0" t="0" r="9525" b="0"/>
            <wp:docPr id="47" name="Picture 47" descr="..\..\..\..\..\..\Untitled-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ntitled-1 copy.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86075" cy="2552700"/>
                    </a:xfrm>
                    <a:prstGeom prst="rect">
                      <a:avLst/>
                    </a:prstGeom>
                    <a:noFill/>
                    <a:ln>
                      <a:noFill/>
                    </a:ln>
                  </pic:spPr>
                </pic:pic>
              </a:graphicData>
            </a:graphic>
          </wp:inline>
        </w:drawing>
      </w:r>
    </w:p>
    <w:p w:rsidR="00C90DEB" w:rsidRDefault="0043072C">
      <w:pPr>
        <w:ind w:right="-187"/>
        <w:jc w:val="center"/>
        <w:rPr>
          <w:rFonts w:ascii="Book Antiqua" w:hAnsi="Book Antiqua"/>
          <w:sz w:val="20"/>
        </w:rPr>
      </w:pPr>
      <w:r>
        <w:rPr>
          <w:rFonts w:ascii="Book Antiqua" w:hAnsi="Book Antiqua"/>
          <w:sz w:val="20"/>
        </w:rPr>
        <w:t>(a)</w:t>
      </w:r>
    </w:p>
    <w:p w:rsidR="00C90DEB" w:rsidRDefault="00C90DEB">
      <w:pPr>
        <w:ind w:right="-187"/>
        <w:jc w:val="center"/>
        <w:rPr>
          <w:rFonts w:ascii="Book Antiqua" w:hAnsi="Book Antiqua"/>
          <w:sz w:val="20"/>
        </w:rPr>
      </w:pPr>
    </w:p>
    <w:p w:rsidR="00C90DEB" w:rsidRDefault="002B1C63">
      <w:pPr>
        <w:ind w:right="-187"/>
        <w:jc w:val="center"/>
        <w:rPr>
          <w:rFonts w:ascii="Book Antiqua" w:hAnsi="Book Antiqua"/>
          <w:sz w:val="20"/>
        </w:rPr>
      </w:pPr>
      <w:r>
        <w:rPr>
          <w:rFonts w:ascii="Book Antiqua" w:hAnsi="Book Antiqua"/>
          <w:noProof/>
          <w:sz w:val="20"/>
        </w:rPr>
        <w:drawing>
          <wp:inline distT="0" distB="0" distL="0" distR="0">
            <wp:extent cx="2876550" cy="1943100"/>
            <wp:effectExtent l="0" t="0" r="0" b="0"/>
            <wp:docPr id="48" name="Picture 48" descr="..\..\..\..\..\..\Untitled-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ntitled-1 copy.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876550" cy="1943100"/>
                    </a:xfrm>
                    <a:prstGeom prst="rect">
                      <a:avLst/>
                    </a:prstGeom>
                    <a:noFill/>
                    <a:ln>
                      <a:noFill/>
                    </a:ln>
                  </pic:spPr>
                </pic:pic>
              </a:graphicData>
            </a:graphic>
          </wp:inline>
        </w:drawing>
      </w:r>
    </w:p>
    <w:p w:rsidR="00C90DEB" w:rsidRDefault="0043072C">
      <w:pPr>
        <w:ind w:right="-187"/>
        <w:jc w:val="center"/>
        <w:rPr>
          <w:rFonts w:ascii="Book Antiqua" w:hAnsi="Book Antiqua"/>
          <w:sz w:val="20"/>
        </w:rPr>
      </w:pPr>
      <w:r>
        <w:rPr>
          <w:rFonts w:ascii="Book Antiqua" w:hAnsi="Book Antiqua"/>
          <w:sz w:val="20"/>
        </w:rPr>
        <w:t>(b)</w:t>
      </w:r>
    </w:p>
    <w:p w:rsidR="00C90DEB" w:rsidRDefault="00C90DEB">
      <w:pPr>
        <w:ind w:right="-187"/>
        <w:jc w:val="center"/>
        <w:rPr>
          <w:rFonts w:ascii="Book Antiqua" w:hAnsi="Book Antiqua"/>
          <w:sz w:val="20"/>
        </w:rPr>
      </w:pPr>
    </w:p>
    <w:p w:rsidR="00C90DEB" w:rsidRDefault="002B1C63">
      <w:pPr>
        <w:ind w:right="-187"/>
        <w:jc w:val="center"/>
        <w:rPr>
          <w:rFonts w:ascii="Book Antiqua" w:hAnsi="Book Antiqua"/>
          <w:sz w:val="20"/>
        </w:rPr>
      </w:pPr>
      <w:r>
        <w:rPr>
          <w:rFonts w:ascii="Book Antiqua" w:hAnsi="Book Antiqua"/>
          <w:noProof/>
          <w:sz w:val="20"/>
        </w:rPr>
        <w:drawing>
          <wp:inline distT="0" distB="0" distL="0" distR="0">
            <wp:extent cx="2895600" cy="1647825"/>
            <wp:effectExtent l="0" t="0" r="0" b="9525"/>
            <wp:docPr id="49" name="Picture 49" descr="..\..\..\..\..\..\Untitled-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ntitled-1 copy.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895600" cy="1647825"/>
                    </a:xfrm>
                    <a:prstGeom prst="rect">
                      <a:avLst/>
                    </a:prstGeom>
                    <a:noFill/>
                    <a:ln>
                      <a:noFill/>
                    </a:ln>
                  </pic:spPr>
                </pic:pic>
              </a:graphicData>
            </a:graphic>
          </wp:inline>
        </w:drawing>
      </w:r>
    </w:p>
    <w:p w:rsidR="00C90DEB" w:rsidRDefault="0043072C">
      <w:pPr>
        <w:ind w:right="-187"/>
        <w:jc w:val="center"/>
        <w:rPr>
          <w:rFonts w:ascii="Book Antiqua" w:hAnsi="Book Antiqua"/>
          <w:vanish/>
          <w:sz w:val="20"/>
        </w:rPr>
      </w:pPr>
      <w:r>
        <w:rPr>
          <w:rFonts w:ascii="Book Antiqua" w:hAnsi="Book Antiqua"/>
          <w:sz w:val="20"/>
        </w:rPr>
        <w:t>(c)</w:t>
      </w:r>
    </w:p>
    <w:p w:rsidR="00C90DEB" w:rsidRDefault="00C90DEB">
      <w:pPr>
        <w:jc w:val="both"/>
        <w:rPr>
          <w:rFonts w:ascii="Book Antiqua" w:hAnsi="Book Antiqua"/>
          <w:vanish/>
          <w:sz w:val="20"/>
        </w:rPr>
      </w:pPr>
    </w:p>
    <w:p w:rsidR="00C90DEB" w:rsidRDefault="00C90DEB">
      <w:pPr>
        <w:jc w:val="both"/>
        <w:rPr>
          <w:rFonts w:ascii="Book Antiqua" w:hAnsi="Book Antiqua"/>
          <w:vanish/>
          <w:sz w:val="20"/>
        </w:rPr>
      </w:pPr>
    </w:p>
    <w:p w:rsidR="00C90DEB" w:rsidRDefault="00C90DEB">
      <w:pPr>
        <w:pStyle w:val="BodyText3"/>
        <w:ind w:right="-180"/>
        <w:rPr>
          <w:rFonts w:ascii="Book Antiqua" w:hAnsi="Book Antiqua"/>
        </w:rPr>
      </w:pPr>
    </w:p>
    <w:p w:rsidR="00C90DEB" w:rsidRDefault="00C90DEB">
      <w:pPr>
        <w:pStyle w:val="BodyText3"/>
        <w:ind w:right="-180"/>
        <w:rPr>
          <w:rFonts w:ascii="Book Antiqua" w:hAnsi="Book Antiqua"/>
        </w:rPr>
      </w:pPr>
    </w:p>
    <w:p w:rsidR="00C90DEB" w:rsidRDefault="0043072C">
      <w:pPr>
        <w:pStyle w:val="BodyText3"/>
        <w:ind w:left="720" w:right="720"/>
        <w:rPr>
          <w:rFonts w:ascii="Book Antiqua" w:hAnsi="Book Antiqua"/>
          <w:b/>
          <w:bCs/>
          <w:sz w:val="24"/>
        </w:rPr>
      </w:pPr>
      <w:r>
        <w:rPr>
          <w:rFonts w:ascii="Book Antiqua" w:hAnsi="Book Antiqua"/>
        </w:rPr>
        <w:t xml:space="preserve">Fig. 7. The molecular surface objects can be used to create simple molecular dynamics simulations that are similar to cartoon movies (and therefore could be readily understood by students). This figure shows three stages of a docking simulation: (a) approaching; (b) entering; (c) docked. The ligand is represented by </w:t>
      </w:r>
      <w:r>
        <w:rPr>
          <w:rFonts w:ascii="Book Antiqua" w:hAnsi="Book Antiqua"/>
        </w:rPr>
        <w:lastRenderedPageBreak/>
        <w:t xml:space="preserve">an elliptical object with a positive charge on one end of its longer axis. The substrate is represented by an irregular shape with an open curved cavity. There is a negative charge at the bottom of the cavity. All these shapes can be easily made using </w:t>
      </w:r>
      <w:r>
        <w:rPr>
          <w:rFonts w:ascii="Book Antiqua" w:hAnsi="Book Antiqua"/>
          <w:i/>
          <w:iCs/>
        </w:rPr>
        <w:t>Molecular Workbench</w:t>
      </w:r>
      <w:r>
        <w:rPr>
          <w:rFonts w:ascii="Book Antiqua" w:hAnsi="Book Antiqua"/>
        </w:rPr>
        <w:t>’s drawing tool for creating molecular surface objects.</w:t>
      </w:r>
      <w:r>
        <w:rPr>
          <w:rFonts w:ascii="Book Antiqua" w:hAnsi="Book Antiqua" w:cs="Lucida Sans Unicode"/>
        </w:rPr>
        <w:t xml:space="preserve"> (These images were taken from the </w:t>
      </w:r>
      <w:r>
        <w:rPr>
          <w:rFonts w:ascii="Book Antiqua" w:hAnsi="Book Antiqua" w:cs="Lucida Sans Unicode"/>
          <w:i/>
          <w:iCs/>
        </w:rPr>
        <w:t>Molecular Workbench</w:t>
      </w:r>
      <w:r>
        <w:rPr>
          <w:rFonts w:ascii="Book Antiqua" w:hAnsi="Book Antiqua" w:cs="Lucida Sans Unicode"/>
        </w:rPr>
        <w:t xml:space="preserve"> software, which is freely available [1].)</w:t>
      </w:r>
    </w:p>
    <w:p w:rsidR="00C90DEB" w:rsidRDefault="00C90DEB">
      <w:pPr>
        <w:pStyle w:val="BodyText3"/>
        <w:ind w:left="720" w:right="720"/>
        <w:rPr>
          <w:rFonts w:ascii="Book Antiqua" w:hAnsi="Book Antiqua"/>
        </w:rPr>
      </w:pP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b/>
          <w:bCs/>
          <w:sz w:val="24"/>
        </w:rPr>
      </w:pPr>
      <w:r>
        <w:rPr>
          <w:rFonts w:ascii="Book Antiqua" w:hAnsi="Book Antiqua"/>
          <w:b/>
          <w:bCs/>
          <w:sz w:val="24"/>
        </w:rPr>
        <w:t>Summary</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Designing visual and interactive models that are pedagogically effective and computationally efficient for teaching molecular biology is a challenge to educators who would like to exploit the fast-increasing computer power. Although there have been explosive growth of the number of research papers published every year about molecular simulations in all major science and engineering fields, little attention has been paid to transfer the algorithms and techniques developed by computational scientists to education and/or adapt them to building computer models for classroom use. This is presumably because of the poor connection between most researchers and the pressing need of a science education reform, which will be carried out primarily through increased use of technology in schools to enhance student learning.</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The Advanced Educational Modeling Laboratory of the Concord Consortium hopes to bridge this otherwise enlarging gap between research computational scientists and educators. Our mission is to develop molecular simulation models that can be run on typical desktop computers, scaffold student activities using these models, deliver the activities to schools, and assess student learning when they go through these activities.</w:t>
      </w: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rPr>
      </w:pPr>
      <w:r>
        <w:rPr>
          <w:rFonts w:ascii="Book Antiqua" w:hAnsi="Book Antiqua"/>
        </w:rPr>
        <w:t>This paper summarizes our efforts in building effective molecular dynamics models for use in education, based on spherical Lennard-Jones particles, elliptical Gay-Berne particles and arbitrary-shape objects. Examples are given in each type, with the emphasis gradually switching from simple models for states of matter to more complex models for molecular biology. With such a broad scope of science covered by very fundamental atomic-scale models with the assistance of molecular dynamics simulations to make them visible and interactive, the science curriculum can be ultimately reformed to meet the challenge of the ongoing biotechnology revolution and the coming nanotechnology revolution.</w:t>
      </w:r>
    </w:p>
    <w:p w:rsidR="00C90DEB" w:rsidRDefault="00C90DEB">
      <w:pPr>
        <w:pStyle w:val="BodyText3"/>
        <w:ind w:right="-180"/>
        <w:rPr>
          <w:rFonts w:ascii="Book Antiqua" w:hAnsi="Book Antiqua"/>
        </w:rPr>
      </w:pP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b/>
          <w:bCs/>
          <w:sz w:val="24"/>
        </w:rPr>
      </w:pPr>
      <w:r>
        <w:rPr>
          <w:rFonts w:ascii="Book Antiqua" w:hAnsi="Book Antiqua"/>
          <w:b/>
          <w:bCs/>
          <w:sz w:val="24"/>
        </w:rPr>
        <w:t>Acknowledgment</w:t>
      </w:r>
    </w:p>
    <w:p w:rsidR="00C90DEB" w:rsidRDefault="00C90DEB">
      <w:pPr>
        <w:pStyle w:val="BodyText3"/>
        <w:ind w:right="-180"/>
        <w:rPr>
          <w:rFonts w:ascii="Book Antiqua" w:hAnsi="Book Antiqua"/>
        </w:rPr>
      </w:pPr>
    </w:p>
    <w:p w:rsidR="00C90DEB" w:rsidRDefault="0043072C">
      <w:pPr>
        <w:pStyle w:val="BodyText3"/>
        <w:rPr>
          <w:rFonts w:ascii="Book Antiqua" w:hAnsi="Book Antiqua"/>
        </w:rPr>
      </w:pPr>
      <w:r>
        <w:rPr>
          <w:rFonts w:ascii="Book Antiqua" w:hAnsi="Book Antiqua"/>
        </w:rPr>
        <w:t>This paper is based on research supported by the National Science Foundation. Any opinions, findings, and conclusions or recommendations expressed in the materials associated with this program are those of the author and do not necessarily reflect the views of the National Science Foundation.</w:t>
      </w:r>
    </w:p>
    <w:p w:rsidR="00C90DEB" w:rsidRDefault="00C90DEB">
      <w:pPr>
        <w:pStyle w:val="BodyText3"/>
        <w:ind w:right="-180"/>
        <w:rPr>
          <w:rFonts w:ascii="Book Antiqua" w:hAnsi="Book Antiqua"/>
        </w:rPr>
      </w:pPr>
    </w:p>
    <w:p w:rsidR="00C90DEB" w:rsidRDefault="00C90DEB">
      <w:pPr>
        <w:pStyle w:val="BodyText3"/>
        <w:ind w:right="-180"/>
        <w:rPr>
          <w:rFonts w:ascii="Book Antiqua" w:hAnsi="Book Antiqua"/>
        </w:rPr>
      </w:pPr>
    </w:p>
    <w:p w:rsidR="00C90DEB" w:rsidRDefault="0043072C">
      <w:pPr>
        <w:pStyle w:val="BodyText3"/>
        <w:ind w:right="-180"/>
        <w:rPr>
          <w:rFonts w:ascii="Book Antiqua" w:hAnsi="Book Antiqua"/>
          <w:b/>
          <w:bCs/>
          <w:sz w:val="24"/>
        </w:rPr>
      </w:pPr>
      <w:r>
        <w:rPr>
          <w:rFonts w:ascii="Book Antiqua" w:hAnsi="Book Antiqua"/>
          <w:b/>
          <w:bCs/>
          <w:sz w:val="24"/>
        </w:rPr>
        <w:t>References:</w:t>
      </w:r>
    </w:p>
    <w:p w:rsidR="00C90DEB" w:rsidRDefault="00C90DEB">
      <w:pPr>
        <w:pStyle w:val="BodyText3"/>
        <w:ind w:right="-180"/>
        <w:rPr>
          <w:rFonts w:ascii="Book Antiqua" w:hAnsi="Book Antiqua"/>
        </w:rPr>
      </w:pPr>
    </w:p>
    <w:p w:rsidR="00C90DEB" w:rsidRDefault="0043072C">
      <w:pPr>
        <w:ind w:right="-180"/>
        <w:rPr>
          <w:rFonts w:ascii="Book Antiqua" w:hAnsi="Book Antiqua"/>
          <w:sz w:val="20"/>
        </w:rPr>
      </w:pPr>
      <w:r>
        <w:rPr>
          <w:rFonts w:ascii="Book Antiqua" w:hAnsi="Book Antiqua"/>
          <w:sz w:val="20"/>
        </w:rPr>
        <w:t xml:space="preserve">[1] The </w:t>
      </w:r>
      <w:r>
        <w:rPr>
          <w:rFonts w:ascii="Book Antiqua" w:hAnsi="Book Antiqua"/>
          <w:i/>
          <w:iCs/>
          <w:sz w:val="20"/>
        </w:rPr>
        <w:t>Molecular Workbench</w:t>
      </w:r>
      <w:r>
        <w:rPr>
          <w:rFonts w:ascii="Book Antiqua" w:hAnsi="Book Antiqua"/>
          <w:sz w:val="20"/>
        </w:rPr>
        <w:t xml:space="preserve"> software runs on Windows, Mac OS X and Linux, and is freely available for download at http://mw.concord.org.</w:t>
      </w:r>
    </w:p>
    <w:p w:rsidR="00C90DEB" w:rsidRDefault="0043072C">
      <w:pPr>
        <w:ind w:right="-180"/>
        <w:jc w:val="both"/>
        <w:rPr>
          <w:rFonts w:ascii="Book Antiqua" w:hAnsi="Book Antiqua"/>
          <w:sz w:val="20"/>
        </w:rPr>
      </w:pPr>
      <w:r>
        <w:rPr>
          <w:rFonts w:ascii="Book Antiqua" w:hAnsi="Book Antiqua"/>
          <w:sz w:val="20"/>
        </w:rPr>
        <w:t xml:space="preserve">[2] R. Tinker, </w:t>
      </w:r>
      <w:r>
        <w:rPr>
          <w:rFonts w:ascii="Book Antiqua" w:hAnsi="Book Antiqua"/>
          <w:i/>
          <w:sz w:val="20"/>
        </w:rPr>
        <w:t>Gordon Conference: Science Education and Visualization</w:t>
      </w:r>
      <w:r>
        <w:rPr>
          <w:rFonts w:ascii="Book Antiqua" w:hAnsi="Book Antiqua"/>
          <w:sz w:val="20"/>
        </w:rPr>
        <w:t>, Inter. Mt. Holyoke College, So. Hadley, MA, 2001</w:t>
      </w:r>
    </w:p>
    <w:p w:rsidR="00C90DEB" w:rsidRDefault="0043072C">
      <w:pPr>
        <w:ind w:right="-180"/>
        <w:jc w:val="both"/>
        <w:rPr>
          <w:rFonts w:ascii="Book Antiqua" w:hAnsi="Book Antiqua"/>
          <w:sz w:val="20"/>
        </w:rPr>
      </w:pPr>
      <w:r>
        <w:rPr>
          <w:rFonts w:ascii="Book Antiqua" w:hAnsi="Book Antiqua"/>
          <w:sz w:val="20"/>
        </w:rPr>
        <w:t xml:space="preserve">[3] A. </w:t>
      </w:r>
      <w:proofErr w:type="spellStart"/>
      <w:r>
        <w:rPr>
          <w:rFonts w:ascii="Book Antiqua" w:hAnsi="Book Antiqua"/>
          <w:sz w:val="20"/>
        </w:rPr>
        <w:t>Pallant</w:t>
      </w:r>
      <w:proofErr w:type="spellEnd"/>
      <w:r>
        <w:rPr>
          <w:rFonts w:ascii="Book Antiqua" w:hAnsi="Book Antiqua"/>
          <w:sz w:val="20"/>
        </w:rPr>
        <w:t xml:space="preserve"> and R. F. Tinker, J. Sci. Ed. Tech., </w:t>
      </w:r>
      <w:r>
        <w:rPr>
          <w:rFonts w:ascii="Book Antiqua" w:hAnsi="Book Antiqua"/>
          <w:b/>
          <w:bCs/>
          <w:sz w:val="20"/>
        </w:rPr>
        <w:t>13</w:t>
      </w:r>
      <w:r>
        <w:rPr>
          <w:rFonts w:ascii="Book Antiqua" w:hAnsi="Book Antiqua"/>
          <w:sz w:val="20"/>
        </w:rPr>
        <w:t>, 51 (2004).</w:t>
      </w:r>
    </w:p>
    <w:p w:rsidR="00C90DEB" w:rsidRDefault="0043072C">
      <w:pPr>
        <w:ind w:right="-180"/>
        <w:jc w:val="both"/>
        <w:rPr>
          <w:rFonts w:ascii="Book Antiqua" w:hAnsi="Book Antiqua"/>
          <w:sz w:val="20"/>
        </w:rPr>
      </w:pPr>
      <w:r>
        <w:rPr>
          <w:rFonts w:ascii="Book Antiqua" w:hAnsi="Book Antiqua"/>
          <w:sz w:val="20"/>
        </w:rPr>
        <w:lastRenderedPageBreak/>
        <w:t xml:space="preserve">[4] A. R. Leach, </w:t>
      </w:r>
      <w:r>
        <w:rPr>
          <w:rFonts w:ascii="Book Antiqua" w:hAnsi="Book Antiqua"/>
          <w:i/>
          <w:sz w:val="20"/>
        </w:rPr>
        <w:t>Molecular Modeling: Principles and Applications</w:t>
      </w:r>
      <w:r>
        <w:rPr>
          <w:rFonts w:ascii="Book Antiqua" w:hAnsi="Book Antiqua"/>
          <w:sz w:val="20"/>
        </w:rPr>
        <w:t>, 2</w:t>
      </w:r>
      <w:r>
        <w:rPr>
          <w:rFonts w:ascii="Book Antiqua" w:hAnsi="Book Antiqua"/>
          <w:sz w:val="20"/>
          <w:vertAlign w:val="superscript"/>
        </w:rPr>
        <w:t>nd</w:t>
      </w:r>
      <w:r>
        <w:rPr>
          <w:rFonts w:ascii="Book Antiqua" w:hAnsi="Book Antiqua"/>
          <w:sz w:val="20"/>
        </w:rPr>
        <w:t xml:space="preserve"> Edition, Pearson Education, 2001.</w:t>
      </w:r>
    </w:p>
    <w:p w:rsidR="00C90DEB" w:rsidRDefault="0043072C">
      <w:pPr>
        <w:ind w:right="-180"/>
        <w:jc w:val="both"/>
        <w:rPr>
          <w:rFonts w:ascii="Book Antiqua" w:hAnsi="Book Antiqua"/>
          <w:sz w:val="20"/>
        </w:rPr>
      </w:pPr>
      <w:r>
        <w:rPr>
          <w:rFonts w:ascii="Book Antiqua" w:hAnsi="Book Antiqua"/>
          <w:sz w:val="20"/>
        </w:rPr>
        <w:t>[5] Interactive Physics; see http://www.interactivephysics.com/</w:t>
      </w:r>
    </w:p>
    <w:p w:rsidR="00C90DEB" w:rsidRDefault="0043072C">
      <w:pPr>
        <w:pStyle w:val="BodyText3"/>
        <w:ind w:right="-180"/>
        <w:rPr>
          <w:rFonts w:ascii="Book Antiqua" w:hAnsi="Book Antiqua"/>
        </w:rPr>
      </w:pPr>
      <w:r>
        <w:rPr>
          <w:rFonts w:ascii="Book Antiqua" w:hAnsi="Book Antiqua"/>
        </w:rPr>
        <w:t xml:space="preserve">[6] M. P. Allen and D. J. </w:t>
      </w:r>
      <w:proofErr w:type="spellStart"/>
      <w:r>
        <w:rPr>
          <w:rFonts w:ascii="Book Antiqua" w:hAnsi="Book Antiqua"/>
        </w:rPr>
        <w:t>Tildesley</w:t>
      </w:r>
      <w:proofErr w:type="spellEnd"/>
      <w:r>
        <w:rPr>
          <w:rFonts w:ascii="Book Antiqua" w:hAnsi="Book Antiqua"/>
        </w:rPr>
        <w:t xml:space="preserve">, </w:t>
      </w:r>
      <w:r>
        <w:rPr>
          <w:rFonts w:ascii="Book Antiqua" w:hAnsi="Book Antiqua"/>
          <w:i/>
          <w:iCs/>
        </w:rPr>
        <w:t>Computer Simulation of Liquids</w:t>
      </w:r>
      <w:r>
        <w:rPr>
          <w:rFonts w:ascii="Book Antiqua" w:hAnsi="Book Antiqua"/>
        </w:rPr>
        <w:t>, Oxford, 1987.</w:t>
      </w:r>
    </w:p>
    <w:p w:rsidR="00C90DEB" w:rsidRDefault="0043072C">
      <w:pPr>
        <w:pStyle w:val="BodyText3"/>
        <w:ind w:right="-180"/>
        <w:rPr>
          <w:rFonts w:ascii="Book Antiqua" w:hAnsi="Book Antiqua"/>
        </w:rPr>
      </w:pPr>
      <w:r>
        <w:rPr>
          <w:rFonts w:ascii="Book Antiqua" w:hAnsi="Book Antiqua"/>
        </w:rPr>
        <w:t xml:space="preserve">[7] J. G. Gay and B. J. Berne, J. Chem. Phys., </w:t>
      </w:r>
      <w:r>
        <w:rPr>
          <w:rFonts w:ascii="Book Antiqua" w:hAnsi="Book Antiqua"/>
          <w:b/>
          <w:bCs/>
        </w:rPr>
        <w:t>74</w:t>
      </w:r>
      <w:r>
        <w:rPr>
          <w:rFonts w:ascii="Book Antiqua" w:hAnsi="Book Antiqua"/>
        </w:rPr>
        <w:t>, 3316 (1981).</w:t>
      </w:r>
    </w:p>
    <w:p w:rsidR="00C90DEB" w:rsidRDefault="0043072C">
      <w:pPr>
        <w:rPr>
          <w:rFonts w:ascii="Book Antiqua" w:hAnsi="Book Antiqua"/>
          <w:sz w:val="20"/>
        </w:rPr>
      </w:pPr>
      <w:r>
        <w:rPr>
          <w:rFonts w:ascii="Book Antiqua" w:hAnsi="Book Antiqua"/>
          <w:sz w:val="20"/>
        </w:rPr>
        <w:t xml:space="preserve">[8] E. T. Lane, in </w:t>
      </w:r>
      <w:r>
        <w:rPr>
          <w:rFonts w:ascii="Book Antiqua" w:hAnsi="Book Antiqua"/>
          <w:i/>
          <w:sz w:val="20"/>
        </w:rPr>
        <w:t>Computers in physics instruction</w:t>
      </w:r>
      <w:r>
        <w:rPr>
          <w:rFonts w:ascii="Book Antiqua" w:hAnsi="Book Antiqua"/>
          <w:sz w:val="20"/>
        </w:rPr>
        <w:t xml:space="preserve">, E. F. </w:t>
      </w:r>
      <w:proofErr w:type="spellStart"/>
      <w:r>
        <w:rPr>
          <w:rFonts w:ascii="Book Antiqua" w:hAnsi="Book Antiqua"/>
          <w:sz w:val="20"/>
        </w:rPr>
        <w:t>Redish</w:t>
      </w:r>
      <w:proofErr w:type="spellEnd"/>
      <w:r>
        <w:rPr>
          <w:rFonts w:ascii="Book Antiqua" w:hAnsi="Book Antiqua"/>
          <w:sz w:val="20"/>
        </w:rPr>
        <w:t xml:space="preserve"> and J. S. </w:t>
      </w:r>
      <w:proofErr w:type="spellStart"/>
      <w:r>
        <w:rPr>
          <w:rFonts w:ascii="Book Antiqua" w:hAnsi="Book Antiqua"/>
          <w:sz w:val="20"/>
        </w:rPr>
        <w:t>Risley</w:t>
      </w:r>
      <w:proofErr w:type="spellEnd"/>
      <w:r>
        <w:rPr>
          <w:rFonts w:ascii="Book Antiqua" w:hAnsi="Book Antiqua"/>
          <w:sz w:val="20"/>
        </w:rPr>
        <w:t>, Eds., Addison-Wesley: Redwood City, CA, 1990.</w:t>
      </w:r>
    </w:p>
    <w:p w:rsidR="00C90DEB" w:rsidRDefault="0043072C">
      <w:pPr>
        <w:rPr>
          <w:rFonts w:ascii="Book Antiqua" w:hAnsi="Book Antiqua"/>
          <w:sz w:val="20"/>
        </w:rPr>
      </w:pPr>
      <w:r>
        <w:rPr>
          <w:rFonts w:ascii="Book Antiqua" w:hAnsi="Book Antiqua"/>
          <w:sz w:val="20"/>
        </w:rPr>
        <w:t xml:space="preserve">[9] R. H. Good, in </w:t>
      </w:r>
      <w:r>
        <w:rPr>
          <w:rFonts w:ascii="Book Antiqua" w:hAnsi="Book Antiqua"/>
          <w:i/>
          <w:sz w:val="20"/>
        </w:rPr>
        <w:t>Computers in physics instruction</w:t>
      </w:r>
      <w:r>
        <w:rPr>
          <w:rFonts w:ascii="Book Antiqua" w:hAnsi="Book Antiqua"/>
          <w:sz w:val="20"/>
        </w:rPr>
        <w:t xml:space="preserve">, E. F. </w:t>
      </w:r>
      <w:proofErr w:type="spellStart"/>
      <w:r>
        <w:rPr>
          <w:rFonts w:ascii="Book Antiqua" w:hAnsi="Book Antiqua"/>
          <w:sz w:val="20"/>
        </w:rPr>
        <w:t>Redish</w:t>
      </w:r>
      <w:proofErr w:type="spellEnd"/>
      <w:r>
        <w:rPr>
          <w:rFonts w:ascii="Book Antiqua" w:hAnsi="Book Antiqua"/>
          <w:sz w:val="20"/>
        </w:rPr>
        <w:t xml:space="preserve">, J. S. </w:t>
      </w:r>
      <w:proofErr w:type="spellStart"/>
      <w:r>
        <w:rPr>
          <w:rFonts w:ascii="Book Antiqua" w:hAnsi="Book Antiqua"/>
          <w:sz w:val="20"/>
        </w:rPr>
        <w:t>Risley</w:t>
      </w:r>
      <w:proofErr w:type="spellEnd"/>
      <w:r>
        <w:rPr>
          <w:rFonts w:ascii="Book Antiqua" w:hAnsi="Book Antiqua"/>
          <w:sz w:val="20"/>
        </w:rPr>
        <w:t>, Eds., Addison-Wesley: Redwood City, CA, 1990.</w:t>
      </w:r>
    </w:p>
    <w:p w:rsidR="00C90DEB" w:rsidRDefault="0043072C">
      <w:pPr>
        <w:ind w:right="-180"/>
        <w:jc w:val="both"/>
        <w:rPr>
          <w:rFonts w:ascii="Book Antiqua" w:hAnsi="Book Antiqua"/>
          <w:sz w:val="20"/>
        </w:rPr>
      </w:pPr>
      <w:r>
        <w:rPr>
          <w:rFonts w:ascii="Book Antiqua" w:hAnsi="Book Antiqua"/>
          <w:sz w:val="20"/>
        </w:rPr>
        <w:t xml:space="preserve">[10] R. H. Good, </w:t>
      </w:r>
      <w:r>
        <w:rPr>
          <w:rFonts w:ascii="Book Antiqua" w:hAnsi="Book Antiqua"/>
          <w:i/>
          <w:sz w:val="20"/>
        </w:rPr>
        <w:t>Physics Simulation Programs</w:t>
      </w:r>
      <w:r>
        <w:rPr>
          <w:rFonts w:ascii="Book Antiqua" w:hAnsi="Book Antiqua"/>
          <w:sz w:val="20"/>
        </w:rPr>
        <w:t xml:space="preserve">, Physics Academic Software: Raleigh, NC, </w:t>
      </w:r>
      <w:r>
        <w:rPr>
          <w:rFonts w:ascii="Book Antiqua" w:hAnsi="Book Antiqua"/>
          <w:bCs/>
          <w:sz w:val="20"/>
        </w:rPr>
        <w:t>1992.</w:t>
      </w:r>
      <w:r>
        <w:rPr>
          <w:rFonts w:ascii="Book Antiqua" w:hAnsi="Book Antiqua"/>
          <w:sz w:val="20"/>
        </w:rPr>
        <w:t xml:space="preserve"> </w:t>
      </w:r>
    </w:p>
    <w:p w:rsidR="00C90DEB" w:rsidRDefault="0043072C">
      <w:pPr>
        <w:rPr>
          <w:rFonts w:ascii="Book Antiqua" w:hAnsi="Book Antiqua"/>
          <w:sz w:val="20"/>
        </w:rPr>
      </w:pPr>
      <w:r>
        <w:rPr>
          <w:rFonts w:ascii="Book Antiqua" w:hAnsi="Book Antiqua"/>
          <w:sz w:val="20"/>
        </w:rPr>
        <w:t xml:space="preserve">[11] U. </w:t>
      </w:r>
      <w:proofErr w:type="spellStart"/>
      <w:r>
        <w:rPr>
          <w:rFonts w:ascii="Book Antiqua" w:hAnsi="Book Antiqua"/>
          <w:sz w:val="20"/>
        </w:rPr>
        <w:t>Wilensky</w:t>
      </w:r>
      <w:proofErr w:type="spellEnd"/>
      <w:r>
        <w:rPr>
          <w:rFonts w:ascii="Book Antiqua" w:hAnsi="Book Antiqua"/>
          <w:sz w:val="20"/>
        </w:rPr>
        <w:t xml:space="preserve">, in </w:t>
      </w:r>
      <w:r>
        <w:rPr>
          <w:rFonts w:ascii="Book Antiqua" w:hAnsi="Book Antiqua"/>
          <w:i/>
          <w:sz w:val="20"/>
        </w:rPr>
        <w:t>Computer Modeling and Simulation in Science Education</w:t>
      </w:r>
      <w:r>
        <w:rPr>
          <w:rFonts w:ascii="Book Antiqua" w:hAnsi="Book Antiqua"/>
          <w:sz w:val="20"/>
        </w:rPr>
        <w:t xml:space="preserve">, N. Roberts, W. </w:t>
      </w:r>
      <w:proofErr w:type="spellStart"/>
      <w:r>
        <w:rPr>
          <w:rFonts w:ascii="Book Antiqua" w:hAnsi="Book Antiqua"/>
          <w:sz w:val="20"/>
        </w:rPr>
        <w:t>Feurzeig</w:t>
      </w:r>
      <w:proofErr w:type="spellEnd"/>
      <w:r>
        <w:rPr>
          <w:rFonts w:ascii="Book Antiqua" w:hAnsi="Book Antiqua"/>
          <w:sz w:val="20"/>
        </w:rPr>
        <w:t>, and B. Hunter, Eds., Springer-</w:t>
      </w:r>
      <w:proofErr w:type="spellStart"/>
      <w:r>
        <w:rPr>
          <w:rFonts w:ascii="Book Antiqua" w:hAnsi="Book Antiqua"/>
          <w:sz w:val="20"/>
        </w:rPr>
        <w:t>Verlag</w:t>
      </w:r>
      <w:proofErr w:type="spellEnd"/>
      <w:r>
        <w:rPr>
          <w:rFonts w:ascii="Book Antiqua" w:hAnsi="Book Antiqua"/>
          <w:sz w:val="20"/>
        </w:rPr>
        <w:t>: Berlin, 1999.</w:t>
      </w:r>
    </w:p>
    <w:p w:rsidR="00C90DEB" w:rsidRDefault="0043072C">
      <w:pPr>
        <w:rPr>
          <w:rFonts w:ascii="Book Antiqua" w:hAnsi="Book Antiqua"/>
          <w:sz w:val="20"/>
        </w:rPr>
      </w:pPr>
      <w:r>
        <w:rPr>
          <w:rFonts w:ascii="Book Antiqua" w:hAnsi="Book Antiqua"/>
          <w:sz w:val="20"/>
        </w:rPr>
        <w:t>[12] The Virtual Molecular Dynamics Laboratory: http://polymer.bu.edu/vmdl/Software/.</w:t>
      </w:r>
    </w:p>
    <w:p w:rsidR="00C90DEB" w:rsidRDefault="0043072C">
      <w:pPr>
        <w:pStyle w:val="FootnoteText"/>
        <w:rPr>
          <w:sz w:val="20"/>
        </w:rPr>
      </w:pPr>
      <w:r>
        <w:rPr>
          <w:sz w:val="20"/>
        </w:rPr>
        <w:t>[13] Molecular Dynamics from Stark design: http://www.starkdesign.com/.</w:t>
      </w:r>
    </w:p>
    <w:p w:rsidR="00C90DEB" w:rsidRDefault="0043072C">
      <w:pPr>
        <w:pStyle w:val="BodyText3"/>
        <w:ind w:right="-180"/>
        <w:rPr>
          <w:rFonts w:ascii="Book Antiqua" w:hAnsi="Book Antiqua"/>
        </w:rPr>
      </w:pPr>
      <w:r>
        <w:rPr>
          <w:rFonts w:ascii="Book Antiqua" w:hAnsi="Book Antiqua"/>
        </w:rPr>
        <w:t xml:space="preserve">[14] M. S. </w:t>
      </w:r>
      <w:proofErr w:type="spellStart"/>
      <w:r>
        <w:rPr>
          <w:rFonts w:ascii="Book Antiqua" w:hAnsi="Book Antiqua"/>
        </w:rPr>
        <w:t>Daw</w:t>
      </w:r>
      <w:proofErr w:type="spellEnd"/>
      <w:r>
        <w:rPr>
          <w:rFonts w:ascii="Book Antiqua" w:hAnsi="Book Antiqua"/>
        </w:rPr>
        <w:t xml:space="preserve"> and M. I. </w:t>
      </w:r>
      <w:proofErr w:type="spellStart"/>
      <w:r>
        <w:rPr>
          <w:rFonts w:ascii="Book Antiqua" w:hAnsi="Book Antiqua"/>
        </w:rPr>
        <w:t>Baskes</w:t>
      </w:r>
      <w:proofErr w:type="spellEnd"/>
      <w:r>
        <w:rPr>
          <w:rFonts w:ascii="Book Antiqua" w:hAnsi="Book Antiqua"/>
        </w:rPr>
        <w:t xml:space="preserve">, Phys. Rev. Lett. </w:t>
      </w:r>
      <w:r>
        <w:rPr>
          <w:rFonts w:ascii="Book Antiqua" w:hAnsi="Book Antiqua"/>
          <w:b/>
          <w:bCs/>
        </w:rPr>
        <w:t>50</w:t>
      </w:r>
      <w:r>
        <w:rPr>
          <w:rFonts w:ascii="Book Antiqua" w:hAnsi="Book Antiqua"/>
        </w:rPr>
        <w:t>, 1245 (1983).</w:t>
      </w:r>
    </w:p>
    <w:p w:rsidR="00C90DEB" w:rsidRDefault="0043072C">
      <w:pPr>
        <w:pStyle w:val="BodyText3"/>
        <w:ind w:right="-180"/>
        <w:rPr>
          <w:rFonts w:ascii="Book Antiqua" w:hAnsi="Book Antiqua"/>
        </w:rPr>
      </w:pPr>
      <w:r>
        <w:rPr>
          <w:rFonts w:ascii="Book Antiqua" w:hAnsi="Book Antiqua"/>
        </w:rPr>
        <w:t xml:space="preserve">[15] D. C. Rapaport, </w:t>
      </w:r>
      <w:proofErr w:type="gramStart"/>
      <w:r>
        <w:rPr>
          <w:rFonts w:ascii="Book Antiqua" w:hAnsi="Book Antiqua"/>
          <w:i/>
          <w:iCs/>
        </w:rPr>
        <w:t>The</w:t>
      </w:r>
      <w:proofErr w:type="gramEnd"/>
      <w:r>
        <w:rPr>
          <w:rFonts w:ascii="Book Antiqua" w:hAnsi="Book Antiqua"/>
          <w:i/>
          <w:iCs/>
        </w:rPr>
        <w:t xml:space="preserve"> Art of Molecular Dynamics Simulation</w:t>
      </w:r>
      <w:r>
        <w:rPr>
          <w:rFonts w:ascii="Book Antiqua" w:hAnsi="Book Antiqua"/>
        </w:rPr>
        <w:t>, Cambridge University Press, 1997.</w:t>
      </w:r>
    </w:p>
    <w:p w:rsidR="00C90DEB" w:rsidRDefault="0043072C">
      <w:pPr>
        <w:pStyle w:val="BodyText3"/>
        <w:ind w:right="-180"/>
        <w:rPr>
          <w:rFonts w:ascii="Book Antiqua" w:hAnsi="Book Antiqua"/>
        </w:rPr>
      </w:pPr>
      <w:r>
        <w:rPr>
          <w:rFonts w:ascii="Book Antiqua" w:hAnsi="Book Antiqua"/>
        </w:rPr>
        <w:t xml:space="preserve">[16] T. </w:t>
      </w:r>
      <w:proofErr w:type="spellStart"/>
      <w:r>
        <w:rPr>
          <w:rFonts w:ascii="Book Antiqua" w:hAnsi="Book Antiqua"/>
        </w:rPr>
        <w:t>Tersoff</w:t>
      </w:r>
      <w:proofErr w:type="spellEnd"/>
      <w:r>
        <w:rPr>
          <w:rFonts w:ascii="Book Antiqua" w:hAnsi="Book Antiqua"/>
        </w:rPr>
        <w:t xml:space="preserve">, Phys. Rev. Lett. </w:t>
      </w:r>
      <w:r>
        <w:rPr>
          <w:rFonts w:ascii="Book Antiqua" w:hAnsi="Book Antiqua"/>
          <w:b/>
          <w:bCs/>
        </w:rPr>
        <w:t>56</w:t>
      </w:r>
      <w:r>
        <w:rPr>
          <w:rFonts w:ascii="Book Antiqua" w:hAnsi="Book Antiqua"/>
        </w:rPr>
        <w:t>, 632 (1986).</w:t>
      </w:r>
    </w:p>
    <w:p w:rsidR="00C90DEB" w:rsidRDefault="0043072C">
      <w:pPr>
        <w:pStyle w:val="BodyText3"/>
        <w:ind w:right="-180"/>
        <w:rPr>
          <w:rFonts w:ascii="Book Antiqua" w:hAnsi="Book Antiqua"/>
        </w:rPr>
      </w:pPr>
      <w:r>
        <w:rPr>
          <w:rFonts w:ascii="Book Antiqua" w:hAnsi="Book Antiqua"/>
        </w:rPr>
        <w:t xml:space="preserve">[17] D. G. </w:t>
      </w:r>
      <w:proofErr w:type="spellStart"/>
      <w:r>
        <w:rPr>
          <w:rFonts w:ascii="Book Antiqua" w:hAnsi="Book Antiqua"/>
        </w:rPr>
        <w:t>Pettifor</w:t>
      </w:r>
      <w:proofErr w:type="spellEnd"/>
      <w:r>
        <w:rPr>
          <w:rFonts w:ascii="Book Antiqua" w:hAnsi="Book Antiqua"/>
        </w:rPr>
        <w:t xml:space="preserve">, Phys. Rev. Lett. </w:t>
      </w:r>
      <w:r>
        <w:rPr>
          <w:rFonts w:ascii="Book Antiqua" w:hAnsi="Book Antiqua"/>
          <w:b/>
          <w:bCs/>
        </w:rPr>
        <w:t>63</w:t>
      </w:r>
      <w:r>
        <w:rPr>
          <w:rFonts w:ascii="Book Antiqua" w:hAnsi="Book Antiqua"/>
        </w:rPr>
        <w:t>, 2480 (1989)</w:t>
      </w:r>
    </w:p>
    <w:p w:rsidR="0043072C" w:rsidRDefault="0043072C">
      <w:pPr>
        <w:pStyle w:val="BodyText3"/>
        <w:ind w:right="-180"/>
        <w:rPr>
          <w:rFonts w:ascii="Book Antiqua" w:hAnsi="Book Antiqua"/>
        </w:rPr>
      </w:pPr>
      <w:r>
        <w:rPr>
          <w:rFonts w:ascii="Book Antiqua" w:hAnsi="Book Antiqua"/>
        </w:rPr>
        <w:t xml:space="preserve">[18] D. J. Cleaver, C. M. Care, M. P. Allen, and M. P. Neal, Phys. Rev. </w:t>
      </w:r>
      <w:r>
        <w:rPr>
          <w:rFonts w:ascii="Book Antiqua" w:hAnsi="Book Antiqua"/>
          <w:b/>
          <w:bCs/>
        </w:rPr>
        <w:t>E54</w:t>
      </w:r>
      <w:r>
        <w:rPr>
          <w:rFonts w:ascii="Book Antiqua" w:hAnsi="Book Antiqua"/>
        </w:rPr>
        <w:t>, 559 (1996).</w:t>
      </w:r>
    </w:p>
    <w:sectPr w:rsidR="0043072C">
      <w:footerReference w:type="even" r:id="rId90"/>
      <w:footerReference w:type="default" r:id="rId9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D58" w:rsidRDefault="00A81D58">
      <w:r>
        <w:separator/>
      </w:r>
    </w:p>
  </w:endnote>
  <w:endnote w:type="continuationSeparator" w:id="0">
    <w:p w:rsidR="00A81D58" w:rsidRDefault="00A81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DEB" w:rsidRDefault="004307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90DEB" w:rsidRDefault="00C90DE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489873"/>
      <w:docPartObj>
        <w:docPartGallery w:val="Page Numbers (Bottom of Page)"/>
        <w:docPartUnique/>
      </w:docPartObj>
    </w:sdtPr>
    <w:sdtEndPr>
      <w:rPr>
        <w:noProof/>
      </w:rPr>
    </w:sdtEndPr>
    <w:sdtContent>
      <w:p w:rsidR="00120A33" w:rsidRDefault="00120A33">
        <w:pPr>
          <w:pStyle w:val="Footer"/>
          <w:jc w:val="right"/>
        </w:pPr>
        <w:r>
          <w:fldChar w:fldCharType="begin"/>
        </w:r>
        <w:r>
          <w:instrText xml:space="preserve"> PAGE   \* MERGEFORMAT </w:instrText>
        </w:r>
        <w:r>
          <w:fldChar w:fldCharType="separate"/>
        </w:r>
        <w:r w:rsidR="00723221">
          <w:rPr>
            <w:noProof/>
          </w:rPr>
          <w:t>8</w:t>
        </w:r>
        <w:r>
          <w:rPr>
            <w:noProof/>
          </w:rPr>
          <w:fldChar w:fldCharType="end"/>
        </w:r>
      </w:p>
    </w:sdtContent>
  </w:sdt>
  <w:p w:rsidR="00C90DEB" w:rsidRDefault="00C90DE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D58" w:rsidRDefault="00A81D58">
      <w:r>
        <w:separator/>
      </w:r>
    </w:p>
  </w:footnote>
  <w:footnote w:type="continuationSeparator" w:id="0">
    <w:p w:rsidR="00A81D58" w:rsidRDefault="00A81D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D16E1"/>
    <w:multiLevelType w:val="hybridMultilevel"/>
    <w:tmpl w:val="8A14A2A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654615E"/>
    <w:multiLevelType w:val="hybridMultilevel"/>
    <w:tmpl w:val="3774C54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69996002"/>
    <w:multiLevelType w:val="hybridMultilevel"/>
    <w:tmpl w:val="FB6643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C63"/>
    <w:rsid w:val="0001705F"/>
    <w:rsid w:val="000802D0"/>
    <w:rsid w:val="00120A33"/>
    <w:rsid w:val="002B1C63"/>
    <w:rsid w:val="004214B4"/>
    <w:rsid w:val="0043072C"/>
    <w:rsid w:val="00723221"/>
    <w:rsid w:val="00A81D58"/>
    <w:rsid w:val="00C9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45419C6-90BC-486A-B135-97ADF01E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pPr>
      <w:jc w:val="both"/>
    </w:pPr>
    <w:rPr>
      <w:sz w:val="20"/>
      <w:szCs w:val="20"/>
    </w:rPr>
  </w:style>
  <w:style w:type="paragraph" w:styleId="BodyText">
    <w:name w:val="Body Text"/>
    <w:basedOn w:val="Normal"/>
    <w:semiHidden/>
    <w:rPr>
      <w:rFonts w:ascii="Book Antiqua" w:hAnsi="Book Antiqua"/>
      <w:b/>
      <w:i/>
      <w:sz w:val="32"/>
      <w:szCs w:val="20"/>
    </w:rPr>
  </w:style>
  <w:style w:type="paragraph" w:styleId="BodyText2">
    <w:name w:val="Body Text 2"/>
    <w:basedOn w:val="Normal"/>
    <w:semiHidden/>
    <w:rPr>
      <w:rFonts w:ascii="Book Antiqua" w:hAnsi="Book Antiqua"/>
      <w:sz w:val="20"/>
      <w:szCs w:val="14"/>
    </w:rPr>
  </w:style>
  <w:style w:type="character" w:styleId="Hyperlink">
    <w:name w:val="Hyperlink"/>
    <w:basedOn w:val="DefaultParagraphFont"/>
    <w:semiHidden/>
    <w:rPr>
      <w:color w:val="0000FF"/>
      <w:u w:val="single"/>
    </w:rPr>
  </w:style>
  <w:style w:type="paragraph" w:styleId="FootnoteText">
    <w:name w:val="footnote text"/>
    <w:basedOn w:val="Normal"/>
    <w:semiHidden/>
    <w:rPr>
      <w:rFonts w:ascii="Book Antiqua" w:hAnsi="Book Antiqua"/>
      <w:sz w:val="18"/>
      <w:szCs w:val="20"/>
    </w:rPr>
  </w:style>
  <w:style w:type="paragraph" w:styleId="BlockText">
    <w:name w:val="Block Text"/>
    <w:basedOn w:val="Normal"/>
    <w:semiHidden/>
    <w:pPr>
      <w:ind w:left="720" w:right="720"/>
      <w:jc w:val="both"/>
    </w:pPr>
    <w:rPr>
      <w:rFonts w:ascii="Book Antiqua" w:hAnsi="Book Antiqua"/>
      <w:sz w:val="20"/>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Header">
    <w:name w:val="header"/>
    <w:basedOn w:val="Normal"/>
    <w:link w:val="HeaderChar"/>
    <w:uiPriority w:val="99"/>
    <w:unhideWhenUsed/>
    <w:rsid w:val="0001705F"/>
    <w:pPr>
      <w:tabs>
        <w:tab w:val="center" w:pos="4680"/>
        <w:tab w:val="right" w:pos="9360"/>
      </w:tabs>
    </w:pPr>
  </w:style>
  <w:style w:type="character" w:customStyle="1" w:styleId="HeaderChar">
    <w:name w:val="Header Char"/>
    <w:basedOn w:val="DefaultParagraphFont"/>
    <w:link w:val="Header"/>
    <w:uiPriority w:val="99"/>
    <w:rsid w:val="0001705F"/>
    <w:rPr>
      <w:sz w:val="24"/>
      <w:szCs w:val="24"/>
    </w:rPr>
  </w:style>
  <w:style w:type="character" w:customStyle="1" w:styleId="FooterChar">
    <w:name w:val="Footer Char"/>
    <w:basedOn w:val="DefaultParagraphFont"/>
    <w:link w:val="Footer"/>
    <w:uiPriority w:val="99"/>
    <w:rsid w:val="00120A3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5.bin"/><Relationship Id="rId42" Type="http://schemas.openxmlformats.org/officeDocument/2006/relationships/image" Target="media/image20.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3.wmf"/><Relationship Id="rId84" Type="http://schemas.openxmlformats.org/officeDocument/2006/relationships/image" Target="media/image43.png"/><Relationship Id="rId89" Type="http://schemas.openxmlformats.org/officeDocument/2006/relationships/image" Target="media/image48.png"/><Relationship Id="rId16" Type="http://schemas.openxmlformats.org/officeDocument/2006/relationships/image" Target="media/image7.wmf"/><Relationship Id="rId11" Type="http://schemas.openxmlformats.org/officeDocument/2006/relationships/image" Target="media/image4.png"/><Relationship Id="rId32" Type="http://schemas.openxmlformats.org/officeDocument/2006/relationships/image" Target="media/image15.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image" Target="media/image39.png"/><Relationship Id="rId5" Type="http://schemas.openxmlformats.org/officeDocument/2006/relationships/webSettings" Target="webSettings.xml"/><Relationship Id="rId90" Type="http://schemas.openxmlformats.org/officeDocument/2006/relationships/footer" Target="footer1.xml"/><Relationship Id="rId22" Type="http://schemas.openxmlformats.org/officeDocument/2006/relationships/image" Target="media/image10.w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29.bin"/><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oleObject" Target="embeddings/oleObject31.bin"/><Relationship Id="rId80" Type="http://schemas.openxmlformats.org/officeDocument/2006/relationships/image" Target="media/image40.wmf"/><Relationship Id="rId85" Type="http://schemas.openxmlformats.org/officeDocument/2006/relationships/image" Target="media/image44.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9.wmf"/><Relationship Id="rId41" Type="http://schemas.openxmlformats.org/officeDocument/2006/relationships/oleObject" Target="embeddings/oleObject15.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2.bin"/><Relationship Id="rId83" Type="http://schemas.openxmlformats.org/officeDocument/2006/relationships/image" Target="media/image42.png"/><Relationship Id="rId88" Type="http://schemas.openxmlformats.org/officeDocument/2006/relationships/image" Target="media/image47.png"/><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3.png"/><Relationship Id="rId31" Type="http://schemas.openxmlformats.org/officeDocument/2006/relationships/oleObject" Target="embeddings/oleObject10.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7.bin"/><Relationship Id="rId73" Type="http://schemas.openxmlformats.org/officeDocument/2006/relationships/image" Target="media/image35.png"/><Relationship Id="rId78" Type="http://schemas.openxmlformats.org/officeDocument/2006/relationships/oleObject" Target="embeddings/oleObject33.bin"/><Relationship Id="rId81" Type="http://schemas.openxmlformats.org/officeDocument/2006/relationships/oleObject" Target="embeddings/oleObject34.bin"/><Relationship Id="rId86"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8.wmf"/><Relationship Id="rId39" Type="http://schemas.openxmlformats.org/officeDocument/2006/relationships/oleObject" Target="embeddings/oleObject14.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2.bin"/><Relationship Id="rId76" Type="http://schemas.openxmlformats.org/officeDocument/2006/relationships/image" Target="media/image37.png"/><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17.bin"/><Relationship Id="rId66" Type="http://schemas.openxmlformats.org/officeDocument/2006/relationships/image" Target="media/image32.wmf"/><Relationship Id="rId87" Type="http://schemas.openxmlformats.org/officeDocument/2006/relationships/image" Target="media/image46.png"/><Relationship Id="rId61" Type="http://schemas.openxmlformats.org/officeDocument/2006/relationships/oleObject" Target="embeddings/oleObject25.bin"/><Relationship Id="rId82" Type="http://schemas.openxmlformats.org/officeDocument/2006/relationships/image" Target="media/image41.png"/><Relationship Id="rId19" Type="http://schemas.openxmlformats.org/officeDocument/2006/relationships/oleObject" Target="embeddings/oleObject4.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2.bin"/><Relationship Id="rId56" Type="http://schemas.openxmlformats.org/officeDocument/2006/relationships/image" Target="media/image27.wmf"/><Relationship Id="rId77"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Charles Xie, Concord Consortium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4331</Words>
  <Characters>24693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Molecular Dynamics Simulations of Chemical Reactions for Use in Education</vt:lpstr>
    </vt:vector>
  </TitlesOfParts>
  <Company>Concord Consortium</Company>
  <LinksUpToDate>false</LinksUpToDate>
  <CharactersWithSpaces>28967</CharactersWithSpaces>
  <SharedDoc>false</SharedDoc>
  <HLinks>
    <vt:vector size="90" baseType="variant">
      <vt:variant>
        <vt:i4>3211303</vt:i4>
      </vt:variant>
      <vt:variant>
        <vt:i4>10902</vt:i4>
      </vt:variant>
      <vt:variant>
        <vt:i4>1025</vt:i4>
      </vt:variant>
      <vt:variant>
        <vt:i4>1</vt:i4>
      </vt:variant>
      <vt:variant>
        <vt:lpwstr>..\..\..\..\..\..\Untitled-1 copy.png</vt:lpwstr>
      </vt:variant>
      <vt:variant>
        <vt:lpwstr/>
      </vt:variant>
      <vt:variant>
        <vt:i4>3211303</vt:i4>
      </vt:variant>
      <vt:variant>
        <vt:i4>10909</vt:i4>
      </vt:variant>
      <vt:variant>
        <vt:i4>1026</vt:i4>
      </vt:variant>
      <vt:variant>
        <vt:i4>1</vt:i4>
      </vt:variant>
      <vt:variant>
        <vt:lpwstr>..\..\..\..\..\..\Untitled-1 copy.png</vt:lpwstr>
      </vt:variant>
      <vt:variant>
        <vt:lpwstr/>
      </vt:variant>
      <vt:variant>
        <vt:i4>3211303</vt:i4>
      </vt:variant>
      <vt:variant>
        <vt:i4>10917</vt:i4>
      </vt:variant>
      <vt:variant>
        <vt:i4>1027</vt:i4>
      </vt:variant>
      <vt:variant>
        <vt:i4>1</vt:i4>
      </vt:variant>
      <vt:variant>
        <vt:lpwstr>..\..\..\..\..\..\Untitled-1 copy.png</vt:lpwstr>
      </vt:variant>
      <vt:variant>
        <vt:lpwstr/>
      </vt:variant>
      <vt:variant>
        <vt:i4>7733251</vt:i4>
      </vt:variant>
      <vt:variant>
        <vt:i4>12428</vt:i4>
      </vt:variant>
      <vt:variant>
        <vt:i4>1028</vt:i4>
      </vt:variant>
      <vt:variant>
        <vt:i4>1</vt:i4>
      </vt:variant>
      <vt:variant>
        <vt:lpwstr>..\..\..\..\..\..\test\UnitedAtomModeling.gif</vt:lpwstr>
      </vt:variant>
      <vt:variant>
        <vt:lpwstr/>
      </vt:variant>
      <vt:variant>
        <vt:i4>3211303</vt:i4>
      </vt:variant>
      <vt:variant>
        <vt:i4>16900</vt:i4>
      </vt:variant>
      <vt:variant>
        <vt:i4>1029</vt:i4>
      </vt:variant>
      <vt:variant>
        <vt:i4>1</vt:i4>
      </vt:variant>
      <vt:variant>
        <vt:lpwstr>..\..\..\..\..\..\Untitled-1 copy.png</vt:lpwstr>
      </vt:variant>
      <vt:variant>
        <vt:lpwstr/>
      </vt:variant>
      <vt:variant>
        <vt:i4>3211303</vt:i4>
      </vt:variant>
      <vt:variant>
        <vt:i4>16932</vt:i4>
      </vt:variant>
      <vt:variant>
        <vt:i4>1030</vt:i4>
      </vt:variant>
      <vt:variant>
        <vt:i4>1</vt:i4>
      </vt:variant>
      <vt:variant>
        <vt:lpwstr>..\..\..\..\..\..\Untitled-1 copy.png</vt:lpwstr>
      </vt:variant>
      <vt:variant>
        <vt:lpwstr/>
      </vt:variant>
      <vt:variant>
        <vt:i4>3211303</vt:i4>
      </vt:variant>
      <vt:variant>
        <vt:i4>16964</vt:i4>
      </vt:variant>
      <vt:variant>
        <vt:i4>1031</vt:i4>
      </vt:variant>
      <vt:variant>
        <vt:i4>1</vt:i4>
      </vt:variant>
      <vt:variant>
        <vt:lpwstr>..\..\..\..\..\..\Untitled-1 copy.png</vt:lpwstr>
      </vt:variant>
      <vt:variant>
        <vt:lpwstr/>
      </vt:variant>
      <vt:variant>
        <vt:i4>3211303</vt:i4>
      </vt:variant>
      <vt:variant>
        <vt:i4>17273</vt:i4>
      </vt:variant>
      <vt:variant>
        <vt:i4>1032</vt:i4>
      </vt:variant>
      <vt:variant>
        <vt:i4>1</vt:i4>
      </vt:variant>
      <vt:variant>
        <vt:lpwstr>..\..\..\..\..\..\Untitled-1 copy.png</vt:lpwstr>
      </vt:variant>
      <vt:variant>
        <vt:lpwstr/>
      </vt:variant>
      <vt:variant>
        <vt:i4>3211303</vt:i4>
      </vt:variant>
      <vt:variant>
        <vt:i4>19906</vt:i4>
      </vt:variant>
      <vt:variant>
        <vt:i4>1033</vt:i4>
      </vt:variant>
      <vt:variant>
        <vt:i4>1</vt:i4>
      </vt:variant>
      <vt:variant>
        <vt:lpwstr>..\..\..\..\..\..\Untitled-1 copy.png</vt:lpwstr>
      </vt:variant>
      <vt:variant>
        <vt:lpwstr/>
      </vt:variant>
      <vt:variant>
        <vt:i4>3211303</vt:i4>
      </vt:variant>
      <vt:variant>
        <vt:i4>19914</vt:i4>
      </vt:variant>
      <vt:variant>
        <vt:i4>1034</vt:i4>
      </vt:variant>
      <vt:variant>
        <vt:i4>1</vt:i4>
      </vt:variant>
      <vt:variant>
        <vt:lpwstr>..\..\..\..\..\..\Untitled-1 copy.png</vt:lpwstr>
      </vt:variant>
      <vt:variant>
        <vt:lpwstr/>
      </vt:variant>
      <vt:variant>
        <vt:i4>3211303</vt:i4>
      </vt:variant>
      <vt:variant>
        <vt:i4>19920</vt:i4>
      </vt:variant>
      <vt:variant>
        <vt:i4>1035</vt:i4>
      </vt:variant>
      <vt:variant>
        <vt:i4>1</vt:i4>
      </vt:variant>
      <vt:variant>
        <vt:lpwstr>..\..\..\..\..\..\Untitled-1 copy.png</vt:lpwstr>
      </vt:variant>
      <vt:variant>
        <vt:lpwstr/>
      </vt:variant>
      <vt:variant>
        <vt:i4>3211303</vt:i4>
      </vt:variant>
      <vt:variant>
        <vt:i4>22885</vt:i4>
      </vt:variant>
      <vt:variant>
        <vt:i4>1036</vt:i4>
      </vt:variant>
      <vt:variant>
        <vt:i4>1</vt:i4>
      </vt:variant>
      <vt:variant>
        <vt:lpwstr>..\..\..\..\..\..\Untitled-1 copy.png</vt:lpwstr>
      </vt:variant>
      <vt:variant>
        <vt:lpwstr/>
      </vt:variant>
      <vt:variant>
        <vt:i4>3211303</vt:i4>
      </vt:variant>
      <vt:variant>
        <vt:i4>25379</vt:i4>
      </vt:variant>
      <vt:variant>
        <vt:i4>1037</vt:i4>
      </vt:variant>
      <vt:variant>
        <vt:i4>1</vt:i4>
      </vt:variant>
      <vt:variant>
        <vt:lpwstr>..\..\..\..\..\..\Untitled-1 copy.png</vt:lpwstr>
      </vt:variant>
      <vt:variant>
        <vt:lpwstr/>
      </vt:variant>
      <vt:variant>
        <vt:i4>3211303</vt:i4>
      </vt:variant>
      <vt:variant>
        <vt:i4>25386</vt:i4>
      </vt:variant>
      <vt:variant>
        <vt:i4>1038</vt:i4>
      </vt:variant>
      <vt:variant>
        <vt:i4>1</vt:i4>
      </vt:variant>
      <vt:variant>
        <vt:lpwstr>..\..\..\..\..\..\Untitled-1 copy.png</vt:lpwstr>
      </vt:variant>
      <vt:variant>
        <vt:lpwstr/>
      </vt:variant>
      <vt:variant>
        <vt:i4>3211303</vt:i4>
      </vt:variant>
      <vt:variant>
        <vt:i4>25393</vt:i4>
      </vt:variant>
      <vt:variant>
        <vt:i4>1039</vt:i4>
      </vt:variant>
      <vt:variant>
        <vt:i4>1</vt:i4>
      </vt:variant>
      <vt:variant>
        <vt:lpwstr>..\..\..\..\..\..\Untitled-1 copy.png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Dynamics Simulations of Chemical Reactions for Use in Education</dc:title>
  <dc:subject/>
  <dc:creator>Qxie</dc:creator>
  <cp:keywords/>
  <dc:description/>
  <cp:lastModifiedBy>Charles Xie</cp:lastModifiedBy>
  <cp:revision>6</cp:revision>
  <cp:lastPrinted>2004-03-22T02:58:00Z</cp:lastPrinted>
  <dcterms:created xsi:type="dcterms:W3CDTF">2016-09-20T14:29:00Z</dcterms:created>
  <dcterms:modified xsi:type="dcterms:W3CDTF">2016-09-20T14:33:00Z</dcterms:modified>
</cp:coreProperties>
</file>