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國文課・人物導讀講義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44"/>
          <w:szCs w:val="44"/>
        </w:rPr>
        <w:t xml:space="preserve">大唐詩魔：白居易的雙面人生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color w:val="555555"/>
          <w:sz w:val="24"/>
          <w:szCs w:val="24"/>
        </w:rPr>
        <w:t xml:space="preserve">他寫盡天下深情——但那些女子呢？</w:t>
      </w:r>
    </w:p>
    <w:p>
      <w:pPr>
        <w:spacing w:after="60" w:before="60" w:line="34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班級：________　座號：______　姓名：______________</w:t>
      </w:r>
    </w:p>
    <w:p>
      <w:pPr>
        <w:pStyle w:val="Heading1"/>
        <w:keepNext/>
        <w:pBdr>
          <w:bottom w:val="single" w:color="8B1A1A" w:sz="8" w:space="4"/>
        </w:pBd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32"/>
          <w:szCs w:val="32"/>
        </w:rPr>
        <w:t xml:space="preserve">一、白居易的一生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一、少年學霸：苦讀出身的孩子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772 年生於河南新鄭，成長在戰亂後的動盪年代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794 年父親去世，家境清寒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自述苦讀到「口舌成瘡，手肘成胝」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〈與元九書〉；生卒年與出身據漢典及教學資料；794 年喪父據網路整理（待核對）。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二、一鳴驚人：十七人中最年輕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傳說十六歲到長安拜見顧況，顧況先戲稱「長安居大不易」，讀到「野火燒不盡，春風吹又生」後改口稱讚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800 年考中進士，十七位同榜中最年輕，自題「十七人中最少年」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803 年與元稹同登拔萃科、同授校書郎，終身摯友，合稱「元白」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顧況軼事見筆記，細節與年代各書不一，請當傳說；進士與拔萃見《登科記考》等資料。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三、諷喻詩人：為時而著，為事而作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806 年任盩厔尉，寫下《長恨歌》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後任翰林學士、左拾遺，寫《秦中吟》十首、《新樂府》五十首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主張「文章合為時而著，歌詩合為事而作」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詩風淺白，傳說老嫗能解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漢典；教學資料；《長恨歌》年代據一般說法。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四、江州之貶：一場突來的挫折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815 年宰相武元衡遇刺，他上疏請捕刺客，被指「越職言事」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政敵另指他母親墜井而死，他卻作〈賞花〉〈新井〉詩，「有傷名教」（這是當時的指控）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貶為江州司馬，隔年作《琵琶行》：「同是天涯淪落人」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從此由兼善天下轉向獨善其身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學校教材及期刊論文（母親墜井一事為政敵指控，細節請查證）。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五、地方官與晚年：從刺史到香山居士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822 年任杭州刺史，後任蘇州刺史，任內有建設地方的記載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退居洛陽，自號香山居士、醉吟先生，與劉禹錫並稱「劉白」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842 年以刑部尚書致仕，846 年去世，享年七十五歲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漢典；教學資料。治理細節各處說法不同，請核對。</w:t>
      </w:r>
    </w:p>
    <w:p>
      <w:pPr>
        <w:pStyle w:val="Heading1"/>
        <w:keepNext/>
        <w:pBdr>
          <w:bottom w:val="single" w:color="8B1A1A" w:sz="8" w:space="4"/>
        </w:pBd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32"/>
          <w:szCs w:val="32"/>
        </w:rPr>
        <w:t xml:space="preserve">二、三大爭議，證據有多硬？</w:t>
      </w:r>
    </w:p>
    <w:p>
      <w:pPr>
        <w:spacing w:after="60" w:before="6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才華沒有爭議；真正被討論的，是他怎麼對待身邊的女子。請依下列史料，判斷每個說法的可信度。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爭議一：無法守護的初戀　始亂終棄：湘靈？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少年戀人湘靈，因門第被母親反對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808 年與弘農楊氏成婚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〈潛別離〉等詩顯示確有深情；湘靈後來如何，史料極少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學者論文：白氏非顯族，婚姻有助仕途；CBDB。「終身未嫁」多為推測。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爭議二：一首詩帶來的傷害　逼死貞烈：關盼盼？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他在〈燕子樓三首〉序自述：盼盼念舊愛而不嫁，居燕子樓十餘年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傳說他的詩句「一朝身去不相隨」，被盼盼視為責問她為何不隨夫而去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把守節女子逼到「為何不死」的道德質問，現代讀來難以接受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〈燕子樓三首〉序；香港公共圖書館資料。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爭議三：不尊重女性的生活　玩弄女性：樊素與小蠻？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晚年家中有善歌的樊素、善舞的小蠻（出處待核實）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〈不能忘情吟〉約七十歲作，寫他考慮遣走樊素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早年同情宮女，晚年自蓄聲伎，言行落差大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「上百名」「十五六歲」「轉賣」查無可靠依據</w:t>
      </w:r>
    </w:p>
    <w:p>
      <w:pPr>
        <w:pBdr>
          <w:left w:val="single" w:color="8B1A1A" w:sz="24" w:space="6"/>
        </w:pBdr>
        <w:shd w:fill="F5F0E8" w:val="clear"/>
        <w:spacing w:after="80" w:before="80" w:line="320"/>
        <w:ind w:left="12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21"/>
          <w:szCs w:val="21"/>
        </w:rPr>
        <w:t xml:space="preserve">史料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劉緒貽〈白居易還應有一「愧」〉等；講義數字無可靠依據。</w:t>
      </w:r>
    </w:p>
    <w:p>
      <w:pPr>
        <w:pStyle w:val="Heading2"/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7"/>
          <w:szCs w:val="27"/>
        </w:rPr>
        <w:t xml:space="preserve">說法與證據對照表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826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常見說法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史料實際怎麼說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證據強度（自己勾選）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湘靈「終身未嫁」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門第壓力是真的；但湘靈後來如何，史料很少，「終身未嫁」多為推測。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□ 硬　□ 普通　□ 網路加料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關盼盼「被詩逼死」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〈燕子樓三首〉序自述盼盼守節十餘年；絕食之說見後世筆記，距寫詩逾十年，因果關係史學界仍有爭論。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□ 硬　□ 普通　□ 網路加料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樊素、小蠻「上百名、十五六歲、轉賣」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晚年蓄養家妓有記載，〈不能忘情吟〉有不捨之情；但「上百名」「十五六歲」「轉賣」查無可靠依據。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□ 硬　□ 普通　□ 網路加料</w:t>
            </w:r>
          </w:p>
        </w:tc>
      </w:tr>
    </w:tbl>
    <w:p>
      <w:pPr>
        <w:pStyle w:val="Heading1"/>
        <w:keepNext/>
        <w:pBdr>
          <w:bottom w:val="single" w:color="8B1A1A" w:sz="8" w:space="4"/>
        </w:pBd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8B1A1A"/>
          <w:sz w:val="32"/>
          <w:szCs w:val="32"/>
        </w:rPr>
        <w:t xml:space="preserve">三、你怎麼判？</w:t>
      </w:r>
    </w:p>
    <w:p>
      <w:pPr>
        <w:keepNext/>
        <w:spacing w:after="60" w:before="6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 才華高，能抵銷對他人的傷害嗎？</w:t>
      </w:r>
    </w:p>
    <w:p>
      <w:pPr>
        <w:keepNext/>
        <w:pBdr>
          <w:bottom w:val="single" w:color="888888" w:sz="4" w:space="1"/>
        </w:pBdr>
        <w:spacing w:after="20" w:before="1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</w:p>
    <w:p>
      <w:pPr>
        <w:keepNext/>
        <w:pBdr>
          <w:bottom w:val="single" w:color="888888" w:sz="4" w:space="1"/>
        </w:pBdr>
        <w:spacing w:after="20" w:before="1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</w:p>
    <w:p>
      <w:pPr>
        <w:keepNext/>
        <w:spacing w:after="60" w:before="6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2. 如果你是白居易，面對母親與門第壓力，會怎麼做？</w:t>
      </w:r>
    </w:p>
    <w:p>
      <w:pPr>
        <w:keepNext/>
        <w:pBdr>
          <w:bottom w:val="single" w:color="888888" w:sz="4" w:space="1"/>
        </w:pBdr>
        <w:spacing w:after="20" w:before="1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</w:p>
    <w:p>
      <w:pPr>
        <w:keepNext/>
        <w:pBdr>
          <w:bottom w:val="single" w:color="888888" w:sz="4" w:space="1"/>
        </w:pBdr>
        <w:spacing w:after="20" w:before="1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</w:p>
    <w:p>
      <w:pPr>
        <w:keepNext/>
        <w:spacing w:after="60" w:before="6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 哪一個指控的證據最硬？哪一個最像「網路加料」？</w:t>
      </w:r>
    </w:p>
    <w:p>
      <w:pPr>
        <w:keepNext/>
        <w:pBdr>
          <w:bottom w:val="single" w:color="888888" w:sz="4" w:space="1"/>
        </w:pBdr>
        <w:spacing w:after="20" w:before="1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</w:p>
    <w:p>
      <w:pPr>
        <w:keepNext/>
        <w:pBdr>
          <w:bottom w:val="single" w:color="888888" w:sz="4" w:space="1"/>
        </w:pBdr>
        <w:spacing w:after="20" w:before="1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</w:p>
    <w:p>
      <w:pPr>
        <w:spacing w:after="60" w:before="200" w:line="340"/>
      </w:pPr>
      <w:r>
        <w:rPr>
          <w:rFonts w:ascii="Microsoft JhengHei" w:cs="Microsoft JhengHei" w:eastAsia="Microsoft JhengHei" w:hAnsi="Microsoft JhengHei"/>
          <w:color w:val="777777"/>
          <w:sz w:val="20"/>
          <w:szCs w:val="20"/>
        </w:rPr>
        <w:t xml:space="preserve">本講義內容為歷史詮釋，史學界仍有不同看法。生卒年、軼事細節請以可靠史料核對。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白居易人物導讀　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2026-10-13T06:49:24.087Z</dcterms:created>
  <dcterms:modified xsi:type="dcterms:W3CDTF">2026-10-13T06:49:24.088Z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