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Beslutsunderlag: ny 2-årig YH-fullstackutbildning</w:t>
      </w:r>
    </w:p>
    <w:p>
      <w:r>
        <w:rPr>
          <w:b/>
        </w:rPr>
        <w:t>Till:</w:t>
      </w:r>
      <w:r>
        <w:t xml:space="preserve"> Ledningsgruppen</w:t>
      </w:r>
    </w:p>
    <w:p>
      <w:r>
        <w:rPr>
          <w:b/>
        </w:rPr>
        <w:t>Från:</w:t>
      </w:r>
      <w:r>
        <w:t xml:space="preserve"> Sandra Larsson</w:t>
      </w:r>
    </w:p>
    <w:p>
      <w:r>
        <w:rPr>
          <w:b/>
        </w:rPr>
        <w:t>Datum:</w:t>
      </w:r>
      <w:r>
        <w:t xml:space="preserve"> 2026-05-27</w:t>
      </w:r>
    </w:p>
    <w:p>
      <w:r>
        <w:rPr>
          <w:b/>
        </w:rPr>
        <w:t>Status:</w:t>
      </w:r>
      <w:r>
        <w:t xml:space="preserve"> Beslutsunderlag — kräver ledningsgruppsbeslut</w:t>
      </w:r>
    </w:p>
    <w:p/>
    <w:p>
      <w:pPr>
        <w:pStyle w:val="Title"/>
      </w:pPr>
      <w:r>
        <w:t>Sammanfattning på en sida</w:t>
      </w:r>
    </w:p>
    <w:p>
      <w:r>
        <w:t xml:space="preserve">Skolan föreslås starta en tredje fullstackutbildning som komplement till de existerande Java- och .NET-programmen. Den nya utbildningen profileras mot </w:t>
      </w:r>
      <w:r>
        <w:rPr>
          <w:b/>
        </w:rPr>
        <w:t>TypeScript/React/Node.js-stacken på AWS, med Python som dedikerat AI-integrationsspår</w:t>
      </w:r>
      <w:r>
        <w:t xml:space="preserve"> — den dominerande icke-Java/.NET-nischen på svensk arbetsmarknad.</w:t>
      </w:r>
    </w:p>
    <w:p>
      <w:r>
        <w:rPr>
          <w:b/>
        </w:rPr>
        <w:t>Optimeringsmål:</w:t>
      </w:r>
      <w:r>
        <w:t xml:space="preserve"> maximera andelen utexaminerade som inom 6 månader från examen har en anställningsrelevant tjänst.</w:t>
      </w:r>
    </w:p>
    <w:p>
      <w:r>
        <w:rPr>
          <w:b/>
        </w:rPr>
        <w:t>Tre vägledande beslut formar utbildningen:</w:t>
      </w:r>
    </w:p>
    <w:p>
      <w:r>
        <w:t xml:space="preserve">1. </w:t>
      </w:r>
      <w:r>
        <w:rPr>
          <w:b/>
        </w:rPr>
        <w:t>Tekniken är medel, kompetensen är mål.</w:t>
      </w:r>
      <w:r>
        <w:t xml:space="preserve"> Annonsanalysen visar att 6 av 10 inträdesbarriärer på arbetsmarknaden är </w:t>
      </w:r>
      <w:r>
        <w:rPr>
          <w:i/>
        </w:rPr>
        <w:t>arkitekturella</w:t>
      </w:r>
      <w:r>
        <w:t xml:space="preserve"> eller </w:t>
      </w:r>
      <w:r>
        <w:rPr>
          <w:i/>
        </w:rPr>
        <w:t>systemtänkande</w:t>
      </w:r>
      <w:r>
        <w:t xml:space="preserve"> — inte verktygsspecifika. Utbildningen byggs runt sju kompetensspår där tekniker är vehikeln.</w:t>
      </w:r>
    </w:p>
    <w:p>
      <w:r>
        <w:t xml:space="preserve">2. </w:t>
      </w:r>
      <w:r>
        <w:rPr>
          <w:b/>
        </w:rPr>
        <w:t>LIA är huvudanställningskanalen, inte ett bihang.</w:t>
      </w:r>
      <w:r>
        <w:t xml:space="preserve"> Av 206 svenska fullstack-annonser söker bara 4 (2%) explicit juniorer. Anställning sker huvudsakligen via LIA, rekryteringsevent och relaxade senior-krav. LIA-strategin måste därför genomsyra utbildningens design.</w:t>
      </w:r>
    </w:p>
    <w:p>
      <w:r>
        <w:t xml:space="preserve">3. </w:t>
      </w:r>
      <w:r>
        <w:rPr>
          <w:b/>
        </w:rPr>
        <w:t>AI-arbetsflöde är 2026-grundkompetens.</w:t>
      </w:r>
      <w:r>
        <w:t xml:space="preserve"> 38% av svenska annonser i nischen nämner explicit AI-verktyg i arbetsbeskrivningen — mer än internationellt. Det är inte ett bihang utan en löpande tråd genom hela utbildningen.</w:t>
      </w:r>
    </w:p>
    <w:p>
      <w:r>
        <w:rPr>
          <w:b/>
        </w:rPr>
        <w:t>Underlagets evidens:</w:t>
      </w:r>
      <w:r>
        <w:t xml:space="preserve"> Datadriven analys av 453 jobbannonser (206 svenska från Arbetsförmedlingens JobTech-API, 247 internationella från RemoteOK/We Work Remotely/Hacker News), strukturerat klassificerade av Claude Sonnet 4.6 mot en taxonomi i sju kompetensspår. Full kompetensfrekvens i </w:t>
      </w:r>
      <w:r>
        <w:rPr>
          <w:rFonts w:ascii="Consolas" w:hAnsi="Consolas"/>
        </w:rPr>
        <w:t>output/report.md</w:t>
      </w:r>
      <w:r>
        <w:t xml:space="preserve">. Detaljerad uppdragsbeskrivning i </w:t>
      </w:r>
      <w:r>
        <w:rPr>
          <w:rFonts w:ascii="Consolas" w:hAnsi="Consolas"/>
        </w:rPr>
        <w:t>UPPDRAG.md</w:t>
      </w:r>
      <w:r>
        <w:t>.</w:t>
      </w:r>
    </w:p>
    <w:p>
      <w:r>
        <w:rPr>
          <w:b/>
        </w:rPr>
        <w:t>Beslut som efterfrågas</w:t>
      </w:r>
      <w:r>
        <w:t xml:space="preserve"> (sida 7): start­datum, antal platser, lärarrekrytering, branschråd, finansieringsbeslut, beslut att lämna in MYH-ansökan.</w:t>
      </w:r>
    </w:p>
    <w:p/>
    <w:p>
      <w:pPr>
        <w:pStyle w:val="Title"/>
      </w:pPr>
      <w:r>
        <w:t>1. Profilering och differentiering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Aspekt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Java-fullstack (befintlig)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.NET-fullstack (befintlig)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Ny utbildning</w:t>
            </w:r>
          </w:p>
        </w:tc>
      </w:tr>
      <w:tr>
        <w:tc>
          <w:tcPr>
            <w:tcW w:type="dxa" w:w="2257"/>
          </w:tcPr>
          <w:p>
            <w:r/>
            <w:r>
              <w:t>Primärspråk</w:t>
            </w:r>
          </w:p>
        </w:tc>
        <w:tc>
          <w:tcPr>
            <w:tcW w:type="dxa" w:w="2257"/>
          </w:tcPr>
          <w:p>
            <w:r/>
            <w:r>
              <w:t>Java</w:t>
            </w:r>
          </w:p>
        </w:tc>
        <w:tc>
          <w:tcPr>
            <w:tcW w:type="dxa" w:w="2257"/>
          </w:tcPr>
          <w:p>
            <w:r/>
            <w:r>
              <w:t>C#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TypeScript</w:t>
            </w:r>
          </w:p>
        </w:tc>
      </w:tr>
      <w:tr>
        <w:tc>
          <w:tcPr>
            <w:tcW w:type="dxa" w:w="2257"/>
          </w:tcPr>
          <w:p>
            <w:r/>
            <w:r>
              <w:t>Backend-ramverk</w:t>
            </w:r>
          </w:p>
        </w:tc>
        <w:tc>
          <w:tcPr>
            <w:tcW w:type="dxa" w:w="2257"/>
          </w:tcPr>
          <w:p>
            <w:r/>
            <w:r>
              <w:t>Spring Boot</w:t>
            </w:r>
          </w:p>
        </w:tc>
        <w:tc>
          <w:tcPr>
            <w:tcW w:type="dxa" w:w="2257"/>
          </w:tcPr>
          <w:p>
            <w:r/>
            <w:r>
              <w:t>ASP.NET Core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Node.js (Express/Hono/Nest)</w:t>
            </w:r>
          </w:p>
        </w:tc>
      </w:tr>
      <w:tr>
        <w:tc>
          <w:tcPr>
            <w:tcW w:type="dxa" w:w="2257"/>
          </w:tcPr>
          <w:p>
            <w:r/>
            <w:r>
              <w:t>Frontend</w:t>
            </w:r>
          </w:p>
        </w:tc>
        <w:tc>
          <w:tcPr>
            <w:tcW w:type="dxa" w:w="2257"/>
          </w:tcPr>
          <w:p>
            <w:r/>
            <w:r>
              <w:t>Varierande</w:t>
            </w:r>
          </w:p>
        </w:tc>
        <w:tc>
          <w:tcPr>
            <w:tcW w:type="dxa" w:w="2257"/>
          </w:tcPr>
          <w:p>
            <w:r/>
            <w:r>
              <w:t>Blazor, React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React + Next.js</w:t>
            </w:r>
          </w:p>
        </w:tc>
      </w:tr>
      <w:tr>
        <w:tc>
          <w:tcPr>
            <w:tcW w:type="dxa" w:w="2257"/>
          </w:tcPr>
          <w:p>
            <w:r/>
            <w:r>
              <w:t>Cloud</w:t>
            </w:r>
          </w:p>
        </w:tc>
        <w:tc>
          <w:tcPr>
            <w:tcW w:type="dxa" w:w="2257"/>
          </w:tcPr>
          <w:p>
            <w:r/>
            <w:r>
              <w:t>Azure, AWS</w:t>
            </w:r>
          </w:p>
        </w:tc>
        <w:tc>
          <w:tcPr>
            <w:tcW w:type="dxa" w:w="2257"/>
          </w:tcPr>
          <w:p>
            <w:r/>
            <w:r>
              <w:t>Azure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AWS, Vercel</w:t>
            </w:r>
          </w:p>
        </w:tc>
      </w:tr>
      <w:tr>
        <w:tc>
          <w:tcPr>
            <w:tcW w:type="dxa" w:w="2257"/>
          </w:tcPr>
          <w:p>
            <w:r/>
            <w:r>
              <w:t>Andra-spår / specialisering</w:t>
            </w:r>
          </w:p>
        </w:tc>
        <w:tc>
          <w:tcPr>
            <w:tcW w:type="dxa" w:w="2257"/>
          </w:tcPr>
          <w:p>
            <w:r/>
            <w:r>
              <w:t>—</w:t>
            </w:r>
          </w:p>
        </w:tc>
        <w:tc>
          <w:tcPr>
            <w:tcW w:type="dxa" w:w="2257"/>
          </w:tcPr>
          <w:p>
            <w:r/>
            <w:r>
              <w:t>—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Python (FastAPI) för AI-integrerade applikationer</w:t>
            </w:r>
            <w:r>
              <w:t xml:space="preserve"> — egen 15 YHp-kurs i HT2</w:t>
            </w:r>
          </w:p>
        </w:tc>
      </w:tr>
      <w:tr>
        <w:tc>
          <w:tcPr>
            <w:tcW w:type="dxa" w:w="2257"/>
          </w:tcPr>
          <w:p>
            <w:r/>
            <w:r>
              <w:t>Marknadsandel SE-fullstack</w:t>
            </w:r>
          </w:p>
        </w:tc>
        <w:tc>
          <w:tcPr>
            <w:tcW w:type="dxa" w:w="2257"/>
          </w:tcPr>
          <w:p>
            <w:r/>
            <w:r>
              <w:t>41%</w:t>
            </w:r>
          </w:p>
        </w:tc>
        <w:tc>
          <w:tcPr>
            <w:tcW w:type="dxa" w:w="2257"/>
          </w:tcPr>
          <w:p>
            <w:r/>
            <w:r>
              <w:t>(ingår i 41%)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35%</w:t>
            </w:r>
            <w:r>
              <w:t xml:space="preserve"> (JS/Python/Other tillsammans)</w:t>
            </w:r>
          </w:p>
        </w:tc>
      </w:tr>
      <w:tr>
        <w:tc>
          <w:tcPr>
            <w:tcW w:type="dxa" w:w="2257"/>
          </w:tcPr>
          <w:p>
            <w:r/>
            <w:r>
              <w:t>Differentierande styrkor</w:t>
            </w:r>
          </w:p>
        </w:tc>
        <w:tc>
          <w:tcPr>
            <w:tcW w:type="dxa" w:w="2257"/>
          </w:tcPr>
          <w:p>
            <w:r/>
            <w:r>
              <w:t>Stora företag, bank, försäkring</w:t>
            </w:r>
          </w:p>
        </w:tc>
        <w:tc>
          <w:tcPr>
            <w:tcW w:type="dxa" w:w="2257"/>
          </w:tcPr>
          <w:p>
            <w:r/>
            <w:r>
              <w:t>Microsoft-ekosystem, offentlig sektor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Startup/scale-up, modern produktutveckling, AI-tunga produkter</w:t>
            </w:r>
          </w:p>
        </w:tc>
      </w:tr>
    </w:tbl>
    <w:p>
      <w:r>
        <w:rPr>
          <w:b/>
        </w:rPr>
        <w:t>Profilen i en mening:</w:t>
      </w:r>
      <w:r>
        <w:t xml:space="preserve"> </w:t>
      </w:r>
      <w:r>
        <w:rPr>
          <w:i/>
        </w:rPr>
        <w:t>"Utbilda fullstack-utvecklare för moderna produktorganisationer och scale-ups där hastighet, arkitektur­medvetenhet och AI-integration är avgörande."</w:t>
      </w:r>
    </w:p>
    <w:p/>
    <w:p>
      <w:pPr>
        <w:pStyle w:val="Title"/>
      </w:pPr>
      <w:r>
        <w:t>2. Marknadsbild — vad evidensen visar</w:t>
      </w:r>
    </w:p>
    <w:p>
      <w:pPr>
        <w:pStyle w:val="Heading2"/>
      </w:pPr>
      <w:r>
        <w:t>Underlag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Källa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Antal annonser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Region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Roll i analysen</w:t>
            </w:r>
          </w:p>
        </w:tc>
      </w:tr>
      <w:tr>
        <w:tc>
          <w:tcPr>
            <w:tcW w:type="dxa" w:w="2257"/>
          </w:tcPr>
          <w:p>
            <w:r/>
            <w:r>
              <w:t>JobTech Dev (Arbetsförmedlingen)</w:t>
            </w:r>
          </w:p>
        </w:tc>
        <w:tc>
          <w:tcPr>
            <w:tcW w:type="dxa" w:w="2257"/>
          </w:tcPr>
          <w:p>
            <w:r/>
            <w:r>
              <w:t>206</w:t>
            </w:r>
          </w:p>
        </w:tc>
        <w:tc>
          <w:tcPr>
            <w:tcW w:type="dxa" w:w="2257"/>
          </w:tcPr>
          <w:p>
            <w:r/>
            <w:r>
              <w:t>Sverige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Primärkälla — driver alla rekommendationer</w:t>
            </w:r>
          </w:p>
        </w:tc>
      </w:tr>
      <w:tr>
        <w:tc>
          <w:tcPr>
            <w:tcW w:type="dxa" w:w="2257"/>
          </w:tcPr>
          <w:p>
            <w:r/>
            <w:r>
              <w:t>RemoteOK</w:t>
            </w:r>
          </w:p>
        </w:tc>
        <w:tc>
          <w:tcPr>
            <w:tcW w:type="dxa" w:w="2257"/>
          </w:tcPr>
          <w:p>
            <w:r/>
            <w:r>
              <w:t>45</w:t>
            </w:r>
          </w:p>
        </w:tc>
        <w:tc>
          <w:tcPr>
            <w:tcW w:type="dxa" w:w="2257"/>
          </w:tcPr>
          <w:p>
            <w:r/>
            <w:r>
              <w:t>Internationell</w:t>
            </w:r>
          </w:p>
        </w:tc>
        <w:tc>
          <w:tcPr>
            <w:tcW w:type="dxa" w:w="2257"/>
          </w:tcPr>
          <w:p>
            <w:r/>
            <w:r>
              <w:t>Triangulering</w:t>
            </w:r>
          </w:p>
        </w:tc>
      </w:tr>
      <w:tr>
        <w:tc>
          <w:tcPr>
            <w:tcW w:type="dxa" w:w="2257"/>
          </w:tcPr>
          <w:p>
            <w:r/>
            <w:r>
              <w:t>We Work Remotely</w:t>
            </w:r>
          </w:p>
        </w:tc>
        <w:tc>
          <w:tcPr>
            <w:tcW w:type="dxa" w:w="2257"/>
          </w:tcPr>
          <w:p>
            <w:r/>
            <w:r>
              <w:t>112</w:t>
            </w:r>
          </w:p>
        </w:tc>
        <w:tc>
          <w:tcPr>
            <w:tcW w:type="dxa" w:w="2257"/>
          </w:tcPr>
          <w:p>
            <w:r/>
            <w:r>
              <w:t>Internationell</w:t>
            </w:r>
          </w:p>
        </w:tc>
        <w:tc>
          <w:tcPr>
            <w:tcW w:type="dxa" w:w="2257"/>
          </w:tcPr>
          <w:p>
            <w:r/>
            <w:r>
              <w:t>Triangulering</w:t>
            </w:r>
          </w:p>
        </w:tc>
      </w:tr>
      <w:tr>
        <w:tc>
          <w:tcPr>
            <w:tcW w:type="dxa" w:w="2257"/>
          </w:tcPr>
          <w:p>
            <w:r/>
            <w:r>
              <w:t>Hacker News "Who is hiring" maj 2026</w:t>
            </w:r>
          </w:p>
        </w:tc>
        <w:tc>
          <w:tcPr>
            <w:tcW w:type="dxa" w:w="2257"/>
          </w:tcPr>
          <w:p>
            <w:r/>
            <w:r>
              <w:t>90</w:t>
            </w:r>
          </w:p>
        </w:tc>
        <w:tc>
          <w:tcPr>
            <w:tcW w:type="dxa" w:w="2257"/>
          </w:tcPr>
          <w:p>
            <w:r/>
            <w:r>
              <w:t>Internationell</w:t>
            </w:r>
          </w:p>
        </w:tc>
        <w:tc>
          <w:tcPr>
            <w:tcW w:type="dxa" w:w="2257"/>
          </w:tcPr>
          <w:p>
            <w:r/>
            <w:r>
              <w:t>Triangulering (scale-up-signal)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b/>
              </w:rPr>
              <w:t>Totalt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453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>
      <w:r>
        <w:t xml:space="preserve">Sonnet 4.6 klassificerade varje annons mot sju kompetensspår + seniority + primärstack. Analysen omfattar därför </w:t>
      </w:r>
      <w:r>
        <w:rPr>
          <w:i/>
        </w:rPr>
        <w:t>kompetensspår</w:t>
      </w:r>
      <w:r>
        <w:t>, inte bara verktygslistor — vilket är en kvalitativ förbättring jämfört med branschens standard­analyser.</w:t>
      </w:r>
    </w:p>
    <w:p>
      <w:pPr>
        <w:pStyle w:val="Heading2"/>
      </w:pPr>
      <w:r>
        <w:t>Tre fynd som styr beslutet</w:t>
      </w:r>
    </w:p>
    <w:p>
      <w:r>
        <w:rPr>
          <w:b/>
        </w:rPr>
        <w:t>Fynd 1: Java/.NET dominerar — men det finns en distinkt, stor nisch utanför.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Primärstack i SE-annonser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Andel</w:t>
            </w:r>
          </w:p>
        </w:tc>
      </w:tr>
      <w:tr>
        <w:tc>
          <w:tcPr>
            <w:tcW w:type="dxa" w:w="3010"/>
          </w:tcPr>
          <w:p>
            <w:r/>
            <w:r>
              <w:t>Java eller .NET</w:t>
            </w:r>
          </w:p>
        </w:tc>
        <w:tc>
          <w:tcPr>
            <w:tcW w:type="dxa" w:w="3010"/>
          </w:tcPr>
          <w:p>
            <w:r/>
            <w:r>
              <w:t>84</w:t>
            </w:r>
          </w:p>
        </w:tc>
        <w:tc>
          <w:tcPr>
            <w:tcW w:type="dxa" w:w="3010"/>
          </w:tcPr>
          <w:p>
            <w:r/>
            <w:r>
              <w:t>41%</w:t>
            </w:r>
          </w:p>
        </w:tc>
      </w:tr>
      <w:tr>
        <w:tc>
          <w:tcPr>
            <w:tcW w:type="dxa" w:w="3010"/>
          </w:tcPr>
          <w:p>
            <w:r/>
            <w:r>
              <w:t>Mixed (ofta Java-tungt)</w:t>
            </w:r>
          </w:p>
        </w:tc>
        <w:tc>
          <w:tcPr>
            <w:tcW w:type="dxa" w:w="3010"/>
          </w:tcPr>
          <w:p>
            <w:r/>
            <w:r>
              <w:t>28</w:t>
            </w:r>
          </w:p>
        </w:tc>
        <w:tc>
          <w:tcPr>
            <w:tcW w:type="dxa" w:w="3010"/>
          </w:tcPr>
          <w:p>
            <w:r/>
            <w:r>
              <w:t>14%</w:t>
            </w:r>
          </w:p>
        </w:tc>
      </w:tr>
      <w:tr>
        <w:tc>
          <w:tcPr>
            <w:tcW w:type="dxa" w:w="3010"/>
          </w:tcPr>
          <w:p>
            <w:r/>
            <w:r>
              <w:rPr>
                <w:b/>
              </w:rPr>
              <w:t>JavaScript/Node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40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19%</w:t>
            </w:r>
          </w:p>
        </w:tc>
      </w:tr>
      <w:tr>
        <w:tc>
          <w:tcPr>
            <w:tcW w:type="dxa" w:w="3010"/>
          </w:tcPr>
          <w:p>
            <w:r/>
            <w:r>
              <w:t>Unspecified</w:t>
            </w:r>
          </w:p>
        </w:tc>
        <w:tc>
          <w:tcPr>
            <w:tcW w:type="dxa" w:w="3010"/>
          </w:tcPr>
          <w:p>
            <w:r/>
            <w:r>
              <w:t>22</w:t>
            </w:r>
          </w:p>
        </w:tc>
        <w:tc>
          <w:tcPr>
            <w:tcW w:type="dxa" w:w="3010"/>
          </w:tcPr>
          <w:p>
            <w:r/>
            <w:r>
              <w:t>11%</w:t>
            </w:r>
          </w:p>
        </w:tc>
      </w:tr>
      <w:tr>
        <w:tc>
          <w:tcPr>
            <w:tcW w:type="dxa" w:w="3010"/>
          </w:tcPr>
          <w:p>
            <w:r/>
            <w:r>
              <w:t>Other (Go, Rails, PHP, Elixir)</w:t>
            </w:r>
          </w:p>
        </w:tc>
        <w:tc>
          <w:tcPr>
            <w:tcW w:type="dxa" w:w="3010"/>
          </w:tcPr>
          <w:p>
            <w:r/>
            <w:r>
              <w:t>18</w:t>
            </w:r>
          </w:p>
        </w:tc>
        <w:tc>
          <w:tcPr>
            <w:tcW w:type="dxa" w:w="3010"/>
          </w:tcPr>
          <w:p>
            <w:r/>
            <w:r>
              <w:t>9%</w:t>
            </w:r>
          </w:p>
        </w:tc>
      </w:tr>
      <w:tr>
        <w:tc>
          <w:tcPr>
            <w:tcW w:type="dxa" w:w="3010"/>
          </w:tcPr>
          <w:p>
            <w:r/>
            <w:r>
              <w:t>Python</w:t>
            </w:r>
          </w:p>
        </w:tc>
        <w:tc>
          <w:tcPr>
            <w:tcW w:type="dxa" w:w="3010"/>
          </w:tcPr>
          <w:p>
            <w:r/>
            <w:r>
              <w:t>14</w:t>
            </w:r>
          </w:p>
        </w:tc>
        <w:tc>
          <w:tcPr>
            <w:tcW w:type="dxa" w:w="3010"/>
          </w:tcPr>
          <w:p>
            <w:r/>
            <w:r>
              <w:t>7%</w:t>
            </w:r>
          </w:p>
        </w:tc>
      </w:tr>
    </w:tbl>
    <w:p>
      <w:r>
        <w:t xml:space="preserve">Nischen utanför Java/.NET är </w:t>
      </w:r>
      <w:r>
        <w:rPr>
          <w:b/>
        </w:rPr>
        <w:t>~46% av marknaden</w:t>
      </w:r>
      <w:r>
        <w:t xml:space="preserve"> (95 av 206 ads inkl. unspecified). Inom nischen är JavaScript/Node dominerande och kandiderar därför till primärstack.</w:t>
      </w:r>
    </w:p>
    <w:p>
      <w:r>
        <w:rPr>
          <w:b/>
        </w:rPr>
        <w:t>Fynd 2: Explicit junior-annonser är extremt sällsynta (2%).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Seniority i SE-annonser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Andel</w:t>
            </w:r>
          </w:p>
        </w:tc>
      </w:tr>
      <w:tr>
        <w:tc>
          <w:tcPr>
            <w:tcW w:type="dxa" w:w="3010"/>
          </w:tcPr>
          <w:p>
            <w:r/>
            <w:r>
              <w:t>Senior</w:t>
            </w:r>
          </w:p>
        </w:tc>
        <w:tc>
          <w:tcPr>
            <w:tcW w:type="dxa" w:w="3010"/>
          </w:tcPr>
          <w:p>
            <w:r/>
            <w:r>
              <w:t>97</w:t>
            </w:r>
          </w:p>
        </w:tc>
        <w:tc>
          <w:tcPr>
            <w:tcW w:type="dxa" w:w="3010"/>
          </w:tcPr>
          <w:p>
            <w:r/>
            <w:r>
              <w:t>47%</w:t>
            </w:r>
          </w:p>
        </w:tc>
      </w:tr>
      <w:tr>
        <w:tc>
          <w:tcPr>
            <w:tcW w:type="dxa" w:w="3010"/>
          </w:tcPr>
          <w:p>
            <w:r/>
            <w:r>
              <w:t>Mid</w:t>
            </w:r>
          </w:p>
        </w:tc>
        <w:tc>
          <w:tcPr>
            <w:tcW w:type="dxa" w:w="3010"/>
          </w:tcPr>
          <w:p>
            <w:r/>
            <w:r>
              <w:t>64</w:t>
            </w:r>
          </w:p>
        </w:tc>
        <w:tc>
          <w:tcPr>
            <w:tcW w:type="dxa" w:w="3010"/>
          </w:tcPr>
          <w:p>
            <w:r/>
            <w:r>
              <w:t>31%</w:t>
            </w:r>
          </w:p>
        </w:tc>
      </w:tr>
      <w:tr>
        <w:tc>
          <w:tcPr>
            <w:tcW w:type="dxa" w:w="3010"/>
          </w:tcPr>
          <w:p>
            <w:r/>
            <w:r>
              <w:t>Unspecified</w:t>
            </w:r>
          </w:p>
        </w:tc>
        <w:tc>
          <w:tcPr>
            <w:tcW w:type="dxa" w:w="3010"/>
          </w:tcPr>
          <w:p>
            <w:r/>
            <w:r>
              <w:t>41</w:t>
            </w:r>
          </w:p>
        </w:tc>
        <w:tc>
          <w:tcPr>
            <w:tcW w:type="dxa" w:w="3010"/>
          </w:tcPr>
          <w:p>
            <w:r/>
            <w:r>
              <w:t>20%</w:t>
            </w:r>
          </w:p>
        </w:tc>
      </w:tr>
      <w:tr>
        <w:tc>
          <w:tcPr>
            <w:tcW w:type="dxa" w:w="3010"/>
          </w:tcPr>
          <w:p>
            <w:r/>
            <w:r>
              <w:rPr>
                <w:b/>
              </w:rPr>
              <w:t>Junior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2%</w:t>
            </w:r>
          </w:p>
        </w:tc>
      </w:tr>
    </w:tbl>
    <w:p>
      <w:r>
        <w:t xml:space="preserve">Detta är inte ett analysfel — det är marknadsverkligheten. Svenska arbetsgivare anställer juniorer via </w:t>
      </w:r>
      <w:r>
        <w:rPr>
          <w:i/>
        </w:rPr>
        <w:t>andra kanaler</w:t>
      </w:r>
      <w:r>
        <w:t xml:space="preserve"> än explicit junior-annonser: LIA, rekryteringsmässor, kontakter, och genom att tumma på senior-krav när rätt person dyker upp. </w:t>
      </w:r>
      <w:r>
        <w:rPr>
          <w:b/>
        </w:rPr>
        <w:t>Implikation: LIA är en kärnstrategisk fråga, inte en logistisk.</w:t>
      </w:r>
    </w:p>
    <w:p>
      <w:r>
        <w:rPr>
          <w:b/>
        </w:rPr>
        <w:t>Fynd 3: AI-arbetsflöde är högre i SE än internationellt.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SE-nisch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Internationellt</w:t>
            </w:r>
          </w:p>
        </w:tc>
      </w:tr>
      <w:tr>
        <w:tc>
          <w:tcPr>
            <w:tcW w:type="dxa" w:w="3010"/>
          </w:tcPr>
          <w:p>
            <w:r/>
            <w:r>
              <w:t>AI-verktyg generellt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38%</w:t>
            </w:r>
          </w:p>
        </w:tc>
        <w:tc>
          <w:tcPr>
            <w:tcW w:type="dxa" w:w="3010"/>
          </w:tcPr>
          <w:p>
            <w:r/>
            <w:r>
              <w:t>24%</w:t>
            </w:r>
          </w:p>
        </w:tc>
      </w:tr>
      <w:tr>
        <w:tc>
          <w:tcPr>
            <w:tcW w:type="dxa" w:w="3010"/>
          </w:tcPr>
          <w:p>
            <w:r/>
            <w:r>
              <w:t>Agentic workflows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25%</w:t>
            </w:r>
          </w:p>
        </w:tc>
        <w:tc>
          <w:tcPr>
            <w:tcW w:type="dxa" w:w="3010"/>
          </w:tcPr>
          <w:p>
            <w:r/>
            <w:r>
              <w:t>24%</w:t>
            </w:r>
          </w:p>
        </w:tc>
      </w:tr>
    </w:tbl>
    <w:p>
      <w:r>
        <w:t xml:space="preserve">Detta är överraskande och har två tolkningar: (a) svenska arbetsgivare är tidiga med att skriva ut AI-krav i annonser, (b) svenska arbetsgivare ser AI som differentierande och nämner det aktivt. Båda stödjer slutsatsen att utbildningen </w:t>
      </w:r>
      <w:r>
        <w:rPr>
          <w:i/>
        </w:rPr>
        <w:t>måste</w:t>
      </w:r>
      <w:r>
        <w:t xml:space="preserve"> hantera AI-arbetsflöde — inte som bonus, utan som grundkompetens.</w:t>
      </w:r>
    </w:p>
    <w:p/>
    <w:p>
      <w:pPr>
        <w:pStyle w:val="Title"/>
      </w:pPr>
      <w:r>
        <w:t>3. Kompetensprofil — vad utbildningen producerar</w:t>
      </w:r>
    </w:p>
    <w:p>
      <w:r>
        <w:t xml:space="preserve">Utbildningen ska producera en utexaminerad som kan </w:t>
      </w:r>
      <w:r>
        <w:rPr>
          <w:b/>
        </w:rPr>
        <w:t>alla inträdesbarriärer</w:t>
      </w:r>
      <w:r>
        <w:t xml:space="preserve"> och som har </w:t>
      </w:r>
      <w:r>
        <w:rPr>
          <w:b/>
        </w:rPr>
        <w:t>bevisad förmåga inom minst hälften av differentiererna</w:t>
      </w:r>
      <w:r>
        <w:t>. Varje krav nedan är data­drivet — siffran anger andel av primärpopulationen (SE-nisch) som efterfrågar det.</w:t>
      </w:r>
    </w:p>
    <w:p>
      <w:pPr>
        <w:pStyle w:val="Heading2"/>
      </w:pPr>
      <w:r>
        <w:t>Inträdesbarriärer (≥40% — obligatoriskt i utbildningen)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Kompetens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Spår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Marknads­krav</w:t>
            </w:r>
          </w:p>
        </w:tc>
      </w:tr>
      <w:tr>
        <w:tc>
          <w:tcPr>
            <w:tcW w:type="dxa" w:w="2257"/>
          </w:tcPr>
          <w:p>
            <w:r/>
            <w:r>
              <w:t>1</w:t>
            </w:r>
          </w:p>
        </w:tc>
        <w:tc>
          <w:tcPr>
            <w:tcW w:type="dxa" w:w="2257"/>
          </w:tcPr>
          <w:p>
            <w:r/>
            <w:r>
              <w:t>Lärautonomi och självgång</w:t>
            </w:r>
          </w:p>
        </w:tc>
        <w:tc>
          <w:tcPr>
            <w:tcW w:type="dxa" w:w="2257"/>
          </w:tcPr>
          <w:p>
            <w:r/>
            <w:r>
              <w:t>Yrkesmässighet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91%</w:t>
            </w:r>
          </w:p>
        </w:tc>
      </w:tr>
      <w:tr>
        <w:tc>
          <w:tcPr>
            <w:tcW w:type="dxa" w:w="2257"/>
          </w:tcPr>
          <w:p>
            <w:r/>
            <w:r>
              <w:t>2</w:t>
            </w:r>
          </w:p>
        </w:tc>
        <w:tc>
          <w:tcPr>
            <w:tcW w:type="dxa" w:w="2257"/>
          </w:tcPr>
          <w:p>
            <w:r/>
            <w:r>
              <w:t>Språkflyt i primärspråket (TS/JS)</w:t>
            </w:r>
          </w:p>
        </w:tc>
        <w:tc>
          <w:tcPr>
            <w:tcW w:type="dxa" w:w="2257"/>
          </w:tcPr>
          <w:p>
            <w:r/>
            <w:r>
              <w:t>Hantverket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90%</w:t>
            </w:r>
          </w:p>
        </w:tc>
      </w:tr>
      <w:tr>
        <w:tc>
          <w:tcPr>
            <w:tcW w:type="dxa" w:w="2257"/>
          </w:tcPr>
          <w:p>
            <w:r/>
            <w:r>
              <w:t>3</w:t>
            </w:r>
          </w:p>
        </w:tc>
        <w:tc>
          <w:tcPr>
            <w:tcW w:type="dxa" w:w="2257"/>
          </w:tcPr>
          <w:p>
            <w:r/>
            <w:r>
              <w:t>Samarbete tvärfunktionellt</w:t>
            </w:r>
          </w:p>
        </w:tc>
        <w:tc>
          <w:tcPr>
            <w:tcW w:type="dxa" w:w="2257"/>
          </w:tcPr>
          <w:p>
            <w:r/>
            <w:r>
              <w:t>Projektkunnande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87%</w:t>
            </w:r>
          </w:p>
        </w:tc>
      </w:tr>
      <w:tr>
        <w:tc>
          <w:tcPr>
            <w:tcW w:type="dxa" w:w="2257"/>
          </w:tcPr>
          <w:p>
            <w:r/>
            <w:r>
              <w:t>4</w:t>
            </w:r>
          </w:p>
        </w:tc>
        <w:tc>
          <w:tcPr>
            <w:tcW w:type="dxa" w:w="2257"/>
          </w:tcPr>
          <w:p>
            <w:r/>
            <w:r>
              <w:t>Cloud-native arkitekturtänk</w:t>
            </w:r>
          </w:p>
        </w:tc>
        <w:tc>
          <w:tcPr>
            <w:tcW w:type="dxa" w:w="2257"/>
          </w:tcPr>
          <w:p>
            <w:r/>
            <w:r>
              <w:t>Arkitektur</w:t>
            </w:r>
          </w:p>
        </w:tc>
        <w:tc>
          <w:tcPr>
            <w:tcW w:type="dxa" w:w="2257"/>
          </w:tcPr>
          <w:p>
            <w:r/>
            <w:r>
              <w:t>78%</w:t>
            </w:r>
          </w:p>
        </w:tc>
      </w:tr>
      <w:tr>
        <w:tc>
          <w:tcPr>
            <w:tcW w:type="dxa" w:w="2257"/>
          </w:tcPr>
          <w:p>
            <w:r/>
            <w:r>
              <w:t>5</w:t>
            </w:r>
          </w:p>
        </w:tc>
        <w:tc>
          <w:tcPr>
            <w:tcW w:type="dxa" w:w="2257"/>
          </w:tcPr>
          <w:p>
            <w:r/>
            <w:r>
              <w:t>Problem­decomposition</w:t>
            </w:r>
          </w:p>
        </w:tc>
        <w:tc>
          <w:tcPr>
            <w:tcW w:type="dxa" w:w="2257"/>
          </w:tcPr>
          <w:p>
            <w:r/>
            <w:r>
              <w:t>Yrkesmässighet</w:t>
            </w:r>
          </w:p>
        </w:tc>
        <w:tc>
          <w:tcPr>
            <w:tcW w:type="dxa" w:w="2257"/>
          </w:tcPr>
          <w:p>
            <w:r/>
            <w:r>
              <w:t>78%</w:t>
            </w:r>
          </w:p>
        </w:tc>
      </w:tr>
      <w:tr>
        <w:tc>
          <w:tcPr>
            <w:tcW w:type="dxa" w:w="2257"/>
          </w:tcPr>
          <w:p>
            <w:r/>
            <w:r>
              <w:t>6</w:t>
            </w:r>
          </w:p>
        </w:tc>
        <w:tc>
          <w:tcPr>
            <w:tcW w:type="dxa" w:w="2257"/>
          </w:tcPr>
          <w:p>
            <w:r/>
            <w:r>
              <w:t>Web fundamentals (HTTP/DOM/browser)</w:t>
            </w:r>
          </w:p>
        </w:tc>
        <w:tc>
          <w:tcPr>
            <w:tcW w:type="dxa" w:w="2257"/>
          </w:tcPr>
          <w:p>
            <w:r/>
            <w:r>
              <w:t>Hantverket</w:t>
            </w:r>
          </w:p>
        </w:tc>
        <w:tc>
          <w:tcPr>
            <w:tcW w:type="dxa" w:w="2257"/>
          </w:tcPr>
          <w:p>
            <w:r/>
            <w:r>
              <w:t>75%</w:t>
            </w:r>
          </w:p>
        </w:tc>
      </w:tr>
      <w:tr>
        <w:tc>
          <w:tcPr>
            <w:tcW w:type="dxa" w:w="2257"/>
          </w:tcPr>
          <w:p>
            <w:r/>
            <w:r>
              <w:t>7</w:t>
            </w:r>
          </w:p>
        </w:tc>
        <w:tc>
          <w:tcPr>
            <w:tcW w:type="dxa" w:w="2257"/>
          </w:tcPr>
          <w:p>
            <w:r/>
            <w:r>
              <w:t>CI/CD som arbetssätt</w:t>
            </w:r>
          </w:p>
        </w:tc>
        <w:tc>
          <w:tcPr>
            <w:tcW w:type="dxa" w:w="2257"/>
          </w:tcPr>
          <w:p>
            <w:r/>
            <w:r>
              <w:t>Metodik</w:t>
            </w:r>
          </w:p>
        </w:tc>
        <w:tc>
          <w:tcPr>
            <w:tcW w:type="dxa" w:w="2257"/>
          </w:tcPr>
          <w:p>
            <w:r/>
            <w:r>
              <w:t>73%</w:t>
            </w:r>
          </w:p>
        </w:tc>
      </w:tr>
      <w:tr>
        <w:tc>
          <w:tcPr>
            <w:tcW w:type="dxa" w:w="2257"/>
          </w:tcPr>
          <w:p>
            <w:r/>
            <w:r>
              <w:t>8</w:t>
            </w:r>
          </w:p>
        </w:tc>
        <w:tc>
          <w:tcPr>
            <w:tcW w:type="dxa" w:w="2257"/>
          </w:tcPr>
          <w:p>
            <w:r/>
            <w:r>
              <w:t>API-design</w:t>
            </w:r>
          </w:p>
        </w:tc>
        <w:tc>
          <w:tcPr>
            <w:tcW w:type="dxa" w:w="2257"/>
          </w:tcPr>
          <w:p>
            <w:r/>
            <w:r>
              <w:t>Arkitektur</w:t>
            </w:r>
          </w:p>
        </w:tc>
        <w:tc>
          <w:tcPr>
            <w:tcW w:type="dxa" w:w="2257"/>
          </w:tcPr>
          <w:p>
            <w:r/>
            <w:r>
              <w:t>65%</w:t>
            </w:r>
          </w:p>
        </w:tc>
      </w:tr>
      <w:tr>
        <w:tc>
          <w:tcPr>
            <w:tcW w:type="dxa" w:w="2257"/>
          </w:tcPr>
          <w:p>
            <w:r/>
            <w:r>
              <w:t>9</w:t>
            </w:r>
          </w:p>
        </w:tc>
        <w:tc>
          <w:tcPr>
            <w:tcW w:type="dxa" w:w="2257"/>
          </w:tcPr>
          <w:p>
            <w:r/>
            <w:r>
              <w:t>Performance &amp; skalning</w:t>
            </w:r>
          </w:p>
        </w:tc>
        <w:tc>
          <w:tcPr>
            <w:tcW w:type="dxa" w:w="2257"/>
          </w:tcPr>
          <w:p>
            <w:r/>
            <w:r>
              <w:t>Arkitektur</w:t>
            </w:r>
          </w:p>
        </w:tc>
        <w:tc>
          <w:tcPr>
            <w:tcW w:type="dxa" w:w="2257"/>
          </w:tcPr>
          <w:p>
            <w:r/>
            <w:r>
              <w:t>59%</w:t>
            </w:r>
          </w:p>
        </w:tc>
      </w:tr>
      <w:tr>
        <w:tc>
          <w:tcPr>
            <w:tcW w:type="dxa" w:w="2257"/>
          </w:tcPr>
          <w:p>
            <w:r/>
            <w:r>
              <w:t>10</w:t>
            </w:r>
          </w:p>
        </w:tc>
        <w:tc>
          <w:tcPr>
            <w:tcW w:type="dxa" w:w="2257"/>
          </w:tcPr>
          <w:p>
            <w:r/>
            <w:r>
              <w:t>Domänförståelse</w:t>
            </w:r>
          </w:p>
        </w:tc>
        <w:tc>
          <w:tcPr>
            <w:tcW w:type="dxa" w:w="2257"/>
          </w:tcPr>
          <w:p>
            <w:r/>
            <w:r>
              <w:t>Projektkunnande</w:t>
            </w:r>
          </w:p>
        </w:tc>
        <w:tc>
          <w:tcPr>
            <w:tcW w:type="dxa" w:w="2257"/>
          </w:tcPr>
          <w:p>
            <w:r/>
            <w:r>
              <w:t>58%</w:t>
            </w:r>
          </w:p>
        </w:tc>
      </w:tr>
      <w:tr>
        <w:tc>
          <w:tcPr>
            <w:tcW w:type="dxa" w:w="2257"/>
          </w:tcPr>
          <w:p>
            <w:r/>
            <w:r>
              <w:t>11</w:t>
            </w:r>
          </w:p>
        </w:tc>
        <w:tc>
          <w:tcPr>
            <w:tcW w:type="dxa" w:w="2257"/>
          </w:tcPr>
          <w:p>
            <w:r/>
            <w:r>
              <w:t>Systemdesign-tänk</w:t>
            </w:r>
          </w:p>
        </w:tc>
        <w:tc>
          <w:tcPr>
            <w:tcW w:type="dxa" w:w="2257"/>
          </w:tcPr>
          <w:p>
            <w:r/>
            <w:r>
              <w:t>Arkitektur</w:t>
            </w:r>
          </w:p>
        </w:tc>
        <w:tc>
          <w:tcPr>
            <w:tcW w:type="dxa" w:w="2257"/>
          </w:tcPr>
          <w:p>
            <w:r/>
            <w:r>
              <w:t>48%</w:t>
            </w:r>
          </w:p>
        </w:tc>
      </w:tr>
      <w:tr>
        <w:tc>
          <w:tcPr>
            <w:tcW w:type="dxa" w:w="2257"/>
          </w:tcPr>
          <w:p>
            <w:r/>
            <w:r>
              <w:t>12</w:t>
            </w:r>
          </w:p>
        </w:tc>
        <w:tc>
          <w:tcPr>
            <w:tcW w:type="dxa" w:w="2257"/>
          </w:tcPr>
          <w:p>
            <w:r/>
            <w:r>
              <w:t>Distribuerade system-koncept</w:t>
            </w:r>
          </w:p>
        </w:tc>
        <w:tc>
          <w:tcPr>
            <w:tcW w:type="dxa" w:w="2257"/>
          </w:tcPr>
          <w:p>
            <w:r/>
            <w:r>
              <w:t>Arkitektur</w:t>
            </w:r>
          </w:p>
        </w:tc>
        <w:tc>
          <w:tcPr>
            <w:tcW w:type="dxa" w:w="2257"/>
          </w:tcPr>
          <w:p>
            <w:r/>
            <w:r>
              <w:t>48%</w:t>
            </w:r>
          </w:p>
        </w:tc>
      </w:tr>
      <w:tr>
        <w:tc>
          <w:tcPr>
            <w:tcW w:type="dxa" w:w="2257"/>
          </w:tcPr>
          <w:p>
            <w:r/>
            <w:r>
              <w:t>13</w:t>
            </w:r>
          </w:p>
        </w:tc>
        <w:tc>
          <w:tcPr>
            <w:tcW w:type="dxa" w:w="2257"/>
          </w:tcPr>
          <w:p>
            <w:r/>
            <w:r>
              <w:t>Testningsstrategi</w:t>
            </w:r>
          </w:p>
        </w:tc>
        <w:tc>
          <w:tcPr>
            <w:tcW w:type="dxa" w:w="2257"/>
          </w:tcPr>
          <w:p>
            <w:r/>
            <w:r>
              <w:t>Metodik</w:t>
            </w:r>
          </w:p>
        </w:tc>
        <w:tc>
          <w:tcPr>
            <w:tcW w:type="dxa" w:w="2257"/>
          </w:tcPr>
          <w:p>
            <w:r/>
            <w:r>
              <w:t>46%</w:t>
            </w:r>
          </w:p>
        </w:tc>
      </w:tr>
      <w:tr>
        <w:tc>
          <w:tcPr>
            <w:tcW w:type="dxa" w:w="2257"/>
          </w:tcPr>
          <w:p>
            <w:r/>
            <w:r>
              <w:t>14</w:t>
            </w:r>
          </w:p>
        </w:tc>
        <w:tc>
          <w:tcPr>
            <w:tcW w:type="dxa" w:w="2257"/>
          </w:tcPr>
          <w:p>
            <w:r/>
            <w:r>
              <w:t>Observabilitet</w:t>
            </w:r>
          </w:p>
        </w:tc>
        <w:tc>
          <w:tcPr>
            <w:tcW w:type="dxa" w:w="2257"/>
          </w:tcPr>
          <w:p>
            <w:r/>
            <w:r>
              <w:t>Arkitektur</w:t>
            </w:r>
          </w:p>
        </w:tc>
        <w:tc>
          <w:tcPr>
            <w:tcW w:type="dxa" w:w="2257"/>
          </w:tcPr>
          <w:p>
            <w:r/>
            <w:r>
              <w:t>44%</w:t>
            </w:r>
          </w:p>
        </w:tc>
      </w:tr>
      <w:tr>
        <w:tc>
          <w:tcPr>
            <w:tcW w:type="dxa" w:w="2257"/>
          </w:tcPr>
          <w:p>
            <w:r/>
            <w:r>
              <w:t>15</w:t>
            </w:r>
          </w:p>
        </w:tc>
        <w:tc>
          <w:tcPr>
            <w:tcW w:type="dxa" w:w="2257"/>
          </w:tcPr>
          <w:p>
            <w:r/>
            <w:r>
              <w:t>Stakeholder-kommunikation</w:t>
            </w:r>
          </w:p>
        </w:tc>
        <w:tc>
          <w:tcPr>
            <w:tcW w:type="dxa" w:w="2257"/>
          </w:tcPr>
          <w:p>
            <w:r/>
            <w:r>
              <w:t>Projektkunnande</w:t>
            </w:r>
          </w:p>
        </w:tc>
        <w:tc>
          <w:tcPr>
            <w:tcW w:type="dxa" w:w="2257"/>
          </w:tcPr>
          <w:p>
            <w:r/>
            <w:r>
              <w:t>42%</w:t>
            </w:r>
          </w:p>
        </w:tc>
      </w:tr>
    </w:tbl>
    <w:p>
      <w:r>
        <w:rPr>
          <w:b/>
        </w:rPr>
        <w:t>Mönster:</w:t>
      </w:r>
      <w:r>
        <w:t xml:space="preserve"> </w:t>
      </w:r>
      <w:r>
        <w:rPr>
          <w:i/>
        </w:rPr>
        <w:t>Sex av de femton inträdesbarriärerna är arkitektur eller systemtänk.</w:t>
      </w:r>
      <w:r>
        <w:t xml:space="preserve"> Detta bekräftar att utbildningen måste vara arkitektur-tung, inte verktygs-tung.</w:t>
      </w:r>
    </w:p>
    <w:p>
      <w:pPr>
        <w:pStyle w:val="Heading2"/>
      </w:pPr>
      <w:r>
        <w:t>Differentierare (15–40% — ger edge mot andra juniorer)</w:t>
      </w:r>
    </w:p>
    <w:p>
      <w:r>
        <w:rPr>
          <w:rFonts w:ascii="Consolas" w:hAnsi="Consolas"/>
        </w:rPr>
        <w:t>security_arch</w:t>
      </w:r>
      <w:r>
        <w:t xml:space="preserve"> 39% · </w:t>
      </w:r>
      <w:r>
        <w:rPr>
          <w:rFonts w:ascii="Consolas" w:hAnsi="Consolas"/>
        </w:rPr>
        <w:t>ai_tools_general</w:t>
      </w:r>
      <w:r>
        <w:t xml:space="preserve"> 38% · </w:t>
      </w:r>
      <w:r>
        <w:rPr>
          <w:rFonts w:ascii="Consolas" w:hAnsi="Consolas"/>
        </w:rPr>
        <w:t>data_modeling</w:t>
      </w:r>
      <w:r>
        <w:t xml:space="preserve"> 35% · </w:t>
      </w:r>
      <w:r>
        <w:rPr>
          <w:rFonts w:ascii="Consolas" w:hAnsi="Consolas"/>
        </w:rPr>
        <w:t>agile_practice</w:t>
      </w:r>
      <w:r>
        <w:t xml:space="preserve"> 33% · </w:t>
      </w:r>
      <w:r>
        <w:rPr>
          <w:rFonts w:ascii="Consolas" w:hAnsi="Consolas"/>
        </w:rPr>
        <w:t>requirements_work</w:t>
      </w:r>
      <w:r>
        <w:t xml:space="preserve"> 29% · </w:t>
      </w:r>
      <w:r>
        <w:rPr>
          <w:rFonts w:ascii="Consolas" w:hAnsi="Consolas"/>
        </w:rPr>
        <w:t>code_review</w:t>
      </w:r>
      <w:r>
        <w:t xml:space="preserve"> 25% · </w:t>
      </w:r>
      <w:r>
        <w:rPr>
          <w:rFonts w:ascii="Consolas" w:hAnsi="Consolas"/>
        </w:rPr>
        <w:t>agentic_workflows</w:t>
      </w:r>
      <w:r>
        <w:t xml:space="preserve"> 25% · </w:t>
      </w:r>
      <w:r>
        <w:rPr>
          <w:rFonts w:ascii="Consolas" w:hAnsi="Consolas"/>
        </w:rPr>
        <w:t>debugging</w:t>
      </w:r>
      <w:r>
        <w:t xml:space="preserve"> 22% · </w:t>
      </w:r>
      <w:r>
        <w:rPr>
          <w:rFonts w:ascii="Consolas" w:hAnsi="Consolas"/>
        </w:rPr>
        <w:t>refactoring_craft</w:t>
      </w:r>
      <w:r>
        <w:t xml:space="preserve"> 22% · </w:t>
      </w:r>
      <w:r>
        <w:rPr>
          <w:rFonts w:ascii="Consolas" w:hAnsi="Consolas"/>
        </w:rPr>
        <w:t>documentation</w:t>
      </w:r>
      <w:r>
        <w:t xml:space="preserve"> 19% · </w:t>
      </w:r>
      <w:r>
        <w:rPr>
          <w:rFonts w:ascii="Consolas" w:hAnsi="Consolas"/>
        </w:rPr>
        <w:t>modern_css</w:t>
      </w:r>
      <w:r>
        <w:t xml:space="preserve"> 17%</w:t>
      </w:r>
    </w:p>
    <w:p>
      <w:pPr>
        <w:pStyle w:val="Heading2"/>
      </w:pPr>
      <w:r>
        <w:t xml:space="preserve">Vad utbildningen </w:t>
      </w:r>
      <w:r>
        <w:rPr>
          <w:i/>
        </w:rPr>
        <w:t>inte</w:t>
      </w:r>
      <w:r>
        <w:t xml:space="preserve"> prioriterar</w:t>
      </w:r>
    </w:p>
    <w:p>
      <w:r>
        <w:t xml:space="preserve">Signaler under 15% i nischen prioriteras ner till workshop-format eller LIA-projekt: </w:t>
      </w:r>
      <w:r>
        <w:rPr>
          <w:rFonts w:ascii="Consolas" w:hAnsi="Consolas"/>
        </w:rPr>
        <w:t>code_reading</w:t>
      </w:r>
      <w:r>
        <w:t xml:space="preserve">, </w:t>
      </w:r>
      <w:r>
        <w:rPr>
          <w:rFonts w:ascii="Consolas" w:hAnsi="Consolas"/>
        </w:rPr>
        <w:t>context_management</w:t>
      </w:r>
      <w:r>
        <w:t xml:space="preserve"> (AI), </w:t>
      </w:r>
      <w:r>
        <w:rPr>
          <w:rFonts w:ascii="Consolas" w:hAnsi="Consolas"/>
        </w:rPr>
        <w:t>incident_response</w:t>
      </w:r>
      <w:r>
        <w:t xml:space="preserve">, </w:t>
      </w:r>
      <w:r>
        <w:rPr>
          <w:rFonts w:ascii="Consolas" w:hAnsi="Consolas"/>
        </w:rPr>
        <w:t>refactoring</w:t>
      </w:r>
      <w:r>
        <w:t xml:space="preserve">-disciplin, </w:t>
      </w:r>
      <w:r>
        <w:rPr>
          <w:rFonts w:ascii="Consolas" w:hAnsi="Consolas"/>
        </w:rPr>
        <w:t>html_semantics</w:t>
      </w:r>
      <w:r>
        <w:t xml:space="preserve">, </w:t>
      </w:r>
      <w:r>
        <w:rPr>
          <w:rFonts w:ascii="Consolas" w:hAnsi="Consolas"/>
        </w:rPr>
        <w:t>ethics_responsibility</w:t>
      </w:r>
      <w:r>
        <w:t xml:space="preserve">, </w:t>
      </w:r>
      <w:r>
        <w:rPr>
          <w:rFonts w:ascii="Consolas" w:hAnsi="Consolas"/>
        </w:rPr>
        <w:t>trunk_based</w:t>
      </w:r>
      <w:r>
        <w:t xml:space="preserve">, </w:t>
      </w:r>
      <w:r>
        <w:rPr>
          <w:rFonts w:ascii="Consolas" w:hAnsi="Consolas"/>
        </w:rPr>
        <w:t>TDD</w:t>
      </w:r>
      <w:r>
        <w:t xml:space="preserve">, </w:t>
      </w:r>
      <w:r>
        <w:rPr>
          <w:rFonts w:ascii="Consolas" w:hAnsi="Consolas"/>
        </w:rPr>
        <w:t>prompt_engineering</w:t>
      </w:r>
      <w:r>
        <w:t xml:space="preserve">, </w:t>
      </w:r>
      <w:r>
        <w:rPr>
          <w:rFonts w:ascii="Consolas" w:hAnsi="Consolas"/>
        </w:rPr>
        <w:t>ai_code_review</w:t>
      </w:r>
      <w:r>
        <w:t xml:space="preserve">, </w:t>
      </w:r>
      <w:r>
        <w:rPr>
          <w:rFonts w:ascii="Consolas" w:hAnsi="Consolas"/>
        </w:rPr>
        <w:t>estimation</w:t>
      </w:r>
      <w:r>
        <w:t>.</w:t>
      </w:r>
    </w:p>
    <w:p>
      <w:r>
        <w:rPr>
          <w:b/>
        </w:rPr>
        <w:t>OBS:</w:t>
      </w:r>
      <w:r>
        <w:t xml:space="preserve"> Att en signal är låg-frekvent i annonser betyder inte att den är oviktig — det betyder att arbetsgivare inte kräver den explicit. Vi tar in dem i utbildningen som </w:t>
      </w:r>
      <w:r>
        <w:rPr>
          <w:i/>
        </w:rPr>
        <w:t>exponering</w:t>
      </w:r>
      <w:r>
        <w:t xml:space="preserve"> (workshops, gästföreläsare, valbar fördjupning) men gör dem inte till obligatoriska bedömningsmoment.</w:t>
      </w:r>
    </w:p>
    <w:p/>
    <w:p>
      <w:pPr>
        <w:pStyle w:val="Title"/>
      </w:pPr>
      <w:r>
        <w:t>4. Förslag på kursstruktur (58 veckor undervisning + LIA i VT2)</w:t>
      </w:r>
    </w:p>
    <w:p>
      <w:r>
        <w:t>Programstruktur enligt skolans terminsmodell: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Termin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Längd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YHp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Roll i utbildningen</w:t>
            </w:r>
          </w:p>
        </w:tc>
      </w:tr>
      <w:tr>
        <w:tc>
          <w:tcPr>
            <w:tcW w:type="dxa" w:w="2257"/>
          </w:tcPr>
          <w:p>
            <w:r/>
            <w:r>
              <w:t>HT1 (höst år 1)</w:t>
            </w:r>
          </w:p>
        </w:tc>
        <w:tc>
          <w:tcPr>
            <w:tcW w:type="dxa" w:w="2257"/>
          </w:tcPr>
          <w:p>
            <w:r/>
            <w:r>
              <w:t>16 v</w:t>
            </w:r>
          </w:p>
        </w:tc>
        <w:tc>
          <w:tcPr>
            <w:tcW w:type="dxa" w:w="2257"/>
          </w:tcPr>
          <w:p>
            <w:r/>
            <w:r>
              <w:t>80</w:t>
            </w:r>
          </w:p>
        </w:tc>
        <w:tc>
          <w:tcPr>
            <w:tcW w:type="dxa" w:w="2257"/>
          </w:tcPr>
          <w:p>
            <w:r/>
            <w:r>
              <w:t>Fundament — från noll till kan-skriva-kod</w:t>
            </w:r>
          </w:p>
        </w:tc>
      </w:tr>
      <w:tr>
        <w:tc>
          <w:tcPr>
            <w:tcW w:type="dxa" w:w="2257"/>
          </w:tcPr>
          <w:p>
            <w:r/>
            <w:r>
              <w:t>VT1 (vår år 1)</w:t>
            </w:r>
          </w:p>
        </w:tc>
        <w:tc>
          <w:tcPr>
            <w:tcW w:type="dxa" w:w="2257"/>
          </w:tcPr>
          <w:p>
            <w:r/>
            <w:r>
              <w:t>25 v</w:t>
            </w:r>
          </w:p>
        </w:tc>
        <w:tc>
          <w:tcPr>
            <w:tcW w:type="dxa" w:w="2257"/>
          </w:tcPr>
          <w:p>
            <w:r/>
            <w:r>
              <w:t>125</w:t>
            </w:r>
          </w:p>
        </w:tc>
        <w:tc>
          <w:tcPr>
            <w:tcW w:type="dxa" w:w="2257"/>
          </w:tcPr>
          <w:p>
            <w:r/>
            <w:r>
              <w:t>Bredden — frontend, backend, projekt i team</w:t>
            </w:r>
          </w:p>
        </w:tc>
      </w:tr>
      <w:tr>
        <w:tc>
          <w:tcPr>
            <w:tcW w:type="dxa" w:w="2257"/>
          </w:tcPr>
          <w:p>
            <w:r/>
            <w:r>
              <w:t>HT2 (höst år 2)</w:t>
            </w:r>
          </w:p>
        </w:tc>
        <w:tc>
          <w:tcPr>
            <w:tcW w:type="dxa" w:w="2257"/>
          </w:tcPr>
          <w:p>
            <w:r/>
            <w:r>
              <w:t>17 v</w:t>
            </w:r>
          </w:p>
        </w:tc>
        <w:tc>
          <w:tcPr>
            <w:tcW w:type="dxa" w:w="2257"/>
          </w:tcPr>
          <w:p>
            <w:r/>
            <w:r>
              <w:t>85</w:t>
            </w:r>
          </w:p>
        </w:tc>
        <w:tc>
          <w:tcPr>
            <w:tcW w:type="dxa" w:w="2257"/>
          </w:tcPr>
          <w:p>
            <w:r/>
            <w:r>
              <w:t>Djupet — arkitektur, drift, examensprojekt</w:t>
            </w:r>
          </w:p>
        </w:tc>
      </w:tr>
      <w:tr>
        <w:tc>
          <w:tcPr>
            <w:tcW w:type="dxa" w:w="2257"/>
          </w:tcPr>
          <w:p>
            <w:r/>
            <w:r>
              <w:t>VT2 (vår år 2)</w:t>
            </w:r>
          </w:p>
        </w:tc>
        <w:tc>
          <w:tcPr>
            <w:tcW w:type="dxa" w:w="2257"/>
          </w:tcPr>
          <w:p>
            <w:r/>
            <w:r>
              <w:t>~20 v</w:t>
            </w:r>
          </w:p>
        </w:tc>
        <w:tc>
          <w:tcPr>
            <w:tcW w:type="dxa" w:w="2257"/>
          </w:tcPr>
          <w:p>
            <w:r/>
            <w:r>
              <w:t>~100</w:t>
            </w:r>
          </w:p>
        </w:tc>
        <w:tc>
          <w:tcPr>
            <w:tcW w:type="dxa" w:w="2257"/>
          </w:tcPr>
          <w:p>
            <w:r/>
            <w:r>
              <w:t>LIA (anställningsförberedelse)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b/>
              </w:rPr>
              <w:t>Totalt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~78 v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~390 YHp</w:t>
            </w:r>
          </w:p>
        </w:tc>
        <w:tc>
          <w:tcPr>
            <w:tcW w:type="dxa" w:w="2257"/>
          </w:tcPr>
          <w:p>
            <w:r/>
          </w:p>
        </w:tc>
      </w:tr>
    </w:tbl>
    <w:p>
      <w:pPr>
        <w:pStyle w:val="Heading2"/>
      </w:pPr>
      <w:r>
        <w:t>HT1 — 16 veckor / 80 YHp</w:t>
      </w:r>
    </w:p>
    <w:p>
      <w:r>
        <w:t xml:space="preserve">Fokus: </w:t>
      </w:r>
      <w:r>
        <w:rPr>
          <w:b/>
        </w:rPr>
        <w:t>från noll till kan-skriva-kod</w:t>
      </w:r>
      <w:r>
        <w:t>. Studenter kommer in med gymnasie-Programmering 1 — fundament måste etableras innan något annat fungerar.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Kurs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YHp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Veckor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1806"/>
          </w:tcPr>
          <w:p>
            <w:r/>
            <w:r>
              <w:t>1</w:t>
            </w:r>
          </w:p>
        </w:tc>
        <w:tc>
          <w:tcPr>
            <w:tcW w:type="dxa" w:w="1806"/>
          </w:tcPr>
          <w:p>
            <w:r/>
            <w:r>
              <w:t>Yrkesintroduktion och utvecklingsmiljö</w:t>
            </w:r>
          </w:p>
        </w:tc>
        <w:tc>
          <w:tcPr>
            <w:tcW w:type="dxa" w:w="1806"/>
          </w:tcPr>
          <w:p>
            <w:r/>
            <w:r>
              <w:t>15</w:t>
            </w:r>
          </w:p>
        </w:tc>
        <w:tc>
          <w:tcPr>
            <w:tcW w:type="dxa" w:w="1806"/>
          </w:tcPr>
          <w:p>
            <w:r/>
            <w:r>
              <w:t>3</w:t>
            </w:r>
          </w:p>
        </w:tc>
        <w:tc>
          <w:tcPr>
            <w:tcW w:type="dxa" w:w="1806"/>
          </w:tcPr>
          <w:p>
            <w:r/>
            <w:r>
              <w:t>YH-rollen, agila grunder, lärautonomi, Git/terminal/IDE, CI-introduktion, AI som hjälpverktyg från dag 1</w:t>
            </w:r>
          </w:p>
        </w:tc>
      </w:tr>
      <w:tr>
        <w:tc>
          <w:tcPr>
            <w:tcW w:type="dxa" w:w="1806"/>
          </w:tcPr>
          <w:p>
            <w:r/>
            <w:r>
              <w:t>2</w:t>
            </w:r>
          </w:p>
        </w:tc>
        <w:tc>
          <w:tcPr>
            <w:tcW w:type="dxa" w:w="1806"/>
          </w:tcPr>
          <w:p>
            <w:r/>
            <w:r>
              <w:t>Programmering i TypeScript</w:t>
            </w:r>
          </w:p>
        </w:tc>
        <w:tc>
          <w:tcPr>
            <w:tcW w:type="dxa" w:w="1806"/>
          </w:tcPr>
          <w:p>
            <w:r/>
            <w:r>
              <w:t>40</w:t>
            </w:r>
          </w:p>
        </w:tc>
        <w:tc>
          <w:tcPr>
            <w:tcW w:type="dxa" w:w="1806"/>
          </w:tcPr>
          <w:p>
            <w:r/>
            <w:r>
              <w:t>8</w:t>
            </w:r>
          </w:p>
        </w:tc>
        <w:tc>
          <w:tcPr>
            <w:tcW w:type="dxa" w:w="1806"/>
          </w:tcPr>
          <w:p>
            <w:r/>
            <w:r>
              <w:t>Fundament + datastrukturer + tester + debugging + refactoring-hantverk + kodgranskning. Mängdträning.</w:t>
            </w:r>
          </w:p>
        </w:tc>
      </w:tr>
      <w:tr>
        <w:tc>
          <w:tcPr>
            <w:tcW w:type="dxa" w:w="1806"/>
          </w:tcPr>
          <w:p>
            <w:r/>
            <w:r>
              <w:t>3</w:t>
            </w:r>
          </w:p>
        </w:tc>
        <w:tc>
          <w:tcPr>
            <w:tcW w:type="dxa" w:w="1806"/>
          </w:tcPr>
          <w:p>
            <w:r/>
            <w:r>
              <w:t>Webbutveckling fundamentals</w:t>
            </w:r>
          </w:p>
        </w:tc>
        <w:tc>
          <w:tcPr>
            <w:tcW w:type="dxa" w:w="1806"/>
          </w:tcPr>
          <w:p>
            <w:r/>
            <w:r>
              <w:t>25</w:t>
            </w:r>
          </w:p>
        </w:tc>
        <w:tc>
          <w:tcPr>
            <w:tcW w:type="dxa" w:w="1806"/>
          </w:tcPr>
          <w:p>
            <w:r/>
            <w:r>
              <w:t>5</w:t>
            </w:r>
          </w:p>
        </w:tc>
        <w:tc>
          <w:tcPr>
            <w:tcW w:type="dxa" w:w="1806"/>
          </w:tcPr>
          <w:p>
            <w:r/>
            <w:r>
              <w:t>HTML semantik, modern CSS (Grid/Flex), HTTP, DOM, browser, accessibility</w:t>
            </w:r>
          </w:p>
        </w:tc>
      </w:tr>
    </w:tbl>
    <w:p>
      <w:pPr>
        <w:pStyle w:val="Heading2"/>
      </w:pPr>
      <w:r>
        <w:t>VT1 — 25 veckor / 125 YHp</w:t>
      </w:r>
    </w:p>
    <w:p>
      <w:r>
        <w:t xml:space="preserve">Fokus: </w:t>
      </w:r>
      <w:r>
        <w:rPr>
          <w:b/>
        </w:rPr>
        <w:t>bredden över hela stacken</w:t>
      </w:r>
      <w:r>
        <w:t>. VT1:s ovanliga längd ger utrymme att gå djupt på frontend och även få in backend + databas — vilket gör att studenten kommer in i HT2 med fullstack-bas redan på plats.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Kurs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YHp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Veckor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1806"/>
          </w:tcPr>
          <w:p>
            <w:r/>
            <w:r>
              <w:t>4</w:t>
            </w:r>
          </w:p>
        </w:tc>
        <w:tc>
          <w:tcPr>
            <w:tcW w:type="dxa" w:w="1806"/>
          </w:tcPr>
          <w:p>
            <w:r/>
            <w:r>
              <w:t>Frontend med React och Next.js</w:t>
            </w:r>
          </w:p>
        </w:tc>
        <w:tc>
          <w:tcPr>
            <w:tcW w:type="dxa" w:w="1806"/>
          </w:tcPr>
          <w:p>
            <w:r/>
            <w:r>
              <w:t>50</w:t>
            </w:r>
          </w:p>
        </w:tc>
        <w:tc>
          <w:tcPr>
            <w:tcW w:type="dxa" w:w="1806"/>
          </w:tcPr>
          <w:p>
            <w:r/>
            <w:r>
              <w:t>10</w:t>
            </w:r>
          </w:p>
        </w:tc>
        <w:tc>
          <w:tcPr>
            <w:tcW w:type="dxa" w:w="1806"/>
          </w:tcPr>
          <w:p>
            <w:r/>
            <w:r>
              <w:t>Komponenter, state, hooks, Next.js, server components, prestanda, a11y, designsystem, AI-driven UI-utveckling</w:t>
            </w:r>
          </w:p>
        </w:tc>
      </w:tr>
      <w:tr>
        <w:tc>
          <w:tcPr>
            <w:tcW w:type="dxa" w:w="1806"/>
          </w:tcPr>
          <w:p>
            <w:r/>
            <w:r>
              <w:t>5</w:t>
            </w:r>
          </w:p>
        </w:tc>
        <w:tc>
          <w:tcPr>
            <w:tcW w:type="dxa" w:w="1806"/>
          </w:tcPr>
          <w:p>
            <w:r/>
            <w:r>
              <w:t>Backend och datalager</w:t>
            </w:r>
          </w:p>
        </w:tc>
        <w:tc>
          <w:tcPr>
            <w:tcW w:type="dxa" w:w="1806"/>
          </w:tcPr>
          <w:p>
            <w:r/>
            <w:r>
              <w:t>50</w:t>
            </w:r>
          </w:p>
        </w:tc>
        <w:tc>
          <w:tcPr>
            <w:tcW w:type="dxa" w:w="1806"/>
          </w:tcPr>
          <w:p>
            <w:r/>
            <w:r>
              <w:t>10</w:t>
            </w:r>
          </w:p>
        </w:tc>
        <w:tc>
          <w:tcPr>
            <w:tcW w:type="dxa" w:w="1806"/>
          </w:tcPr>
          <w:p>
            <w:r/>
            <w:r>
              <w:t>Node.js (Express/Hono), REST-design, auth/sessions, validation, PostgreSQL, relationsmodellering, ORM (Prisma/Drizzle)</w:t>
            </w:r>
          </w:p>
        </w:tc>
      </w:tr>
      <w:tr>
        <w:tc>
          <w:tcPr>
            <w:tcW w:type="dxa" w:w="1806"/>
          </w:tcPr>
          <w:p>
            <w:r/>
            <w:r>
              <w:t>6</w:t>
            </w:r>
          </w:p>
        </w:tc>
        <w:tc>
          <w:tcPr>
            <w:tcW w:type="dxa" w:w="1806"/>
          </w:tcPr>
          <w:p>
            <w:r/>
            <w:r>
              <w:t>Projektkurs 1 — fullstack-leverans i team</w:t>
            </w:r>
          </w:p>
        </w:tc>
        <w:tc>
          <w:tcPr>
            <w:tcW w:type="dxa" w:w="1806"/>
          </w:tcPr>
          <w:p>
            <w:r/>
            <w:r>
              <w:t>25</w:t>
            </w:r>
          </w:p>
        </w:tc>
        <w:tc>
          <w:tcPr>
            <w:tcW w:type="dxa" w:w="1806"/>
          </w:tcPr>
          <w:p>
            <w:r/>
            <w:r>
              <w:t>5</w:t>
            </w:r>
          </w:p>
        </w:tc>
        <w:tc>
          <w:tcPr>
            <w:tcW w:type="dxa" w:w="1806"/>
          </w:tcPr>
          <w:p>
            <w:r/>
            <w:r>
              <w:t>Riktig brief, agila praktiker, code review, dokumentation, presentation till bransch</w:t>
            </w:r>
          </w:p>
        </w:tc>
      </w:tr>
    </w:tbl>
    <w:p>
      <w:pPr>
        <w:pStyle w:val="Heading2"/>
      </w:pPr>
      <w:r>
        <w:t>HT2 — 17 veckor / 85 YHp</w:t>
      </w:r>
    </w:p>
    <w:p>
      <w:r>
        <w:t xml:space="preserve">Fokus: </w:t>
      </w:r>
      <w:r>
        <w:rPr>
          <w:b/>
        </w:rPr>
        <w:t>arkitektur, drift, Python+AI, examen</w:t>
      </w:r>
      <w:r>
        <w:t>. Den senior-trajectory-laddade terminen — där "junior med senior-potential" levereras.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Kurs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YHp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Veckor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1806"/>
          </w:tcPr>
          <w:p>
            <w:r/>
            <w:r>
              <w:t>7</w:t>
            </w:r>
          </w:p>
        </w:tc>
        <w:tc>
          <w:tcPr>
            <w:tcW w:type="dxa" w:w="1806"/>
          </w:tcPr>
          <w:p>
            <w:r/>
            <w:r>
              <w:t>Arkitektur och säkerhet</w:t>
            </w:r>
          </w:p>
        </w:tc>
        <w:tc>
          <w:tcPr>
            <w:tcW w:type="dxa" w:w="1806"/>
          </w:tcPr>
          <w:p>
            <w:r/>
            <w:r>
              <w:t>25</w:t>
            </w:r>
          </w:p>
        </w:tc>
        <w:tc>
          <w:tcPr>
            <w:tcW w:type="dxa" w:w="1806"/>
          </w:tcPr>
          <w:p>
            <w:r/>
            <w:r>
              <w:t>5</w:t>
            </w:r>
          </w:p>
        </w:tc>
        <w:tc>
          <w:tcPr>
            <w:tcW w:type="dxa" w:w="1806"/>
          </w:tcPr>
          <w:p>
            <w:r/>
            <w:r>
              <w:t>System design, API-design (kontrakt, versionering), OWASP, GDPR, secrets management, observability, distribuerade-system-koncept, performance/skalning</w:t>
            </w:r>
          </w:p>
        </w:tc>
      </w:tr>
      <w:tr>
        <w:tc>
          <w:tcPr>
            <w:tcW w:type="dxa" w:w="1806"/>
          </w:tcPr>
          <w:p>
            <w:r/>
            <w:r>
              <w:t>8</w:t>
            </w:r>
          </w:p>
        </w:tc>
        <w:tc>
          <w:tcPr>
            <w:tcW w:type="dxa" w:w="1806"/>
          </w:tcPr>
          <w:p>
            <w:r/>
            <w:r>
              <w:t>Python för AI och data</w:t>
            </w:r>
          </w:p>
        </w:tc>
        <w:tc>
          <w:tcPr>
            <w:tcW w:type="dxa" w:w="1806"/>
          </w:tcPr>
          <w:p>
            <w:r/>
            <w:r>
              <w:t>15</w:t>
            </w:r>
          </w:p>
        </w:tc>
        <w:tc>
          <w:tcPr>
            <w:tcW w:type="dxa" w:w="1806"/>
          </w:tcPr>
          <w:p>
            <w:r/>
            <w:r>
              <w:t>3</w:t>
            </w:r>
          </w:p>
        </w:tc>
        <w:tc>
          <w:tcPr>
            <w:tcW w:type="dxa" w:w="1806"/>
          </w:tcPr>
          <w:p>
            <w:r/>
            <w:r>
              <w:t xml:space="preserve">Python-syntax (snabbgenomgång), FastAPI-grund, Python i AI-stacken (LangChain/MCP), scripting och data-manipulation. </w:t>
            </w:r>
            <w:r>
              <w:rPr>
                <w:b/>
              </w:rPr>
              <w:t>Inte ett alternativt fullstack-spår</w:t>
            </w:r>
            <w:r>
              <w:t xml:space="preserve"> — Python som verktyg för AI-integrerade applikationer.</w:t>
            </w:r>
          </w:p>
        </w:tc>
      </w:tr>
      <w:tr>
        <w:tc>
          <w:tcPr>
            <w:tcW w:type="dxa" w:w="1806"/>
          </w:tcPr>
          <w:p>
            <w:r/>
            <w:r>
              <w:t>9</w:t>
            </w:r>
          </w:p>
        </w:tc>
        <w:tc>
          <w:tcPr>
            <w:tcW w:type="dxa" w:w="1806"/>
          </w:tcPr>
          <w:p>
            <w:r/>
            <w:r>
              <w:t>DevOps och molntjänster</w:t>
            </w:r>
          </w:p>
        </w:tc>
        <w:tc>
          <w:tcPr>
            <w:tcW w:type="dxa" w:w="1806"/>
          </w:tcPr>
          <w:p>
            <w:r/>
            <w:r>
              <w:t>20</w:t>
            </w:r>
          </w:p>
        </w:tc>
        <w:tc>
          <w:tcPr>
            <w:tcW w:type="dxa" w:w="1806"/>
          </w:tcPr>
          <w:p>
            <w:r/>
            <w:r>
              <w:t>4</w:t>
            </w:r>
          </w:p>
        </w:tc>
        <w:tc>
          <w:tcPr>
            <w:tcW w:type="dxa" w:w="1806"/>
          </w:tcPr>
          <w:p>
            <w:r/>
            <w:r>
              <w:t>Docker, CI/CD, AWS/Vercel-deployment, monitoring, IaC-introduktion</w:t>
            </w:r>
          </w:p>
        </w:tc>
      </w:tr>
      <w:tr>
        <w:tc>
          <w:tcPr>
            <w:tcW w:type="dxa" w:w="1806"/>
          </w:tcPr>
          <w:p>
            <w:r/>
            <w:r>
              <w:t>10</w:t>
            </w:r>
          </w:p>
        </w:tc>
        <w:tc>
          <w:tcPr>
            <w:tcW w:type="dxa" w:w="1806"/>
          </w:tcPr>
          <w:p>
            <w:r/>
            <w:r>
              <w:t>Examensprojekt</w:t>
            </w:r>
          </w:p>
        </w:tc>
        <w:tc>
          <w:tcPr>
            <w:tcW w:type="dxa" w:w="1806"/>
          </w:tcPr>
          <w:p>
            <w:r/>
            <w:r>
              <w:t>25</w:t>
            </w:r>
          </w:p>
        </w:tc>
        <w:tc>
          <w:tcPr>
            <w:tcW w:type="dxa" w:w="1806"/>
          </w:tcPr>
          <w:p>
            <w:r/>
            <w:r>
              <w:t>5</w:t>
            </w:r>
          </w:p>
        </w:tc>
        <w:tc>
          <w:tcPr>
            <w:tcW w:type="dxa" w:w="1806"/>
          </w:tcPr>
          <w:p>
            <w:r/>
            <w:r>
              <w:t>Individuellt projekt med arkitekturmotivering, presentation till branschpanel</w:t>
            </w:r>
          </w:p>
        </w:tc>
      </w:tr>
    </w:tbl>
    <w:p>
      <w:pPr>
        <w:pStyle w:val="Heading2"/>
      </w:pPr>
      <w:r>
        <w:t>VT2 — LIA, ca 20 veckor / ca 100 YHp</w:t>
      </w:r>
    </w:p>
    <w:p>
      <w:r>
        <w:t xml:space="preserve">LIA designas som en </w:t>
      </w:r>
      <w:r>
        <w:rPr>
          <w:i/>
        </w:rPr>
        <w:t>anställningskanal</w:t>
      </w:r>
      <w:r>
        <w:t>. Se §7 nedan för LIA-strategi.</w:t>
      </w:r>
    </w:p>
    <w:p>
      <w:r>
        <w:rPr>
          <w:b/>
        </w:rPr>
        <w:t>Total: 10 kurser + LIA = 11 läromoment.</w:t>
      </w:r>
      <w:r>
        <w:t xml:space="preserve"> Strukturen kan ytterligare slås samman om skolans norm är färre, men under ~8 kurser börjar varje kurs bli så bred att lärandemålen blir svåra att hålla sammanhängande för MYH-ansökan.</w:t>
      </w:r>
    </w:p>
    <w:p>
      <w:pPr>
        <w:pStyle w:val="Heading2"/>
      </w:pPr>
      <w:r>
        <w:t>Genomgående trådar (inte separata kurser)</w:t>
      </w:r>
    </w:p>
    <w:p>
      <w:r>
        <w:t xml:space="preserve">• </w:t>
      </w:r>
      <w:r>
        <w:rPr>
          <w:b/>
        </w:rPr>
        <w:t>AI-arbetsflöde:</w:t>
      </w:r>
      <w:r>
        <w:t xml:space="preserve"> varje kurs har ett AI-tillämpningsmoment där det är pedagogiskt motiverat. Kursplanerna specificerar </w:t>
      </w:r>
      <w:r>
        <w:rPr>
          <w:i/>
        </w:rPr>
        <w:t>när</w:t>
      </w:r>
      <w:r>
        <w:t xml:space="preserve"> AI ska användas, </w:t>
      </w:r>
      <w:r>
        <w:rPr>
          <w:i/>
        </w:rPr>
        <w:t>när inte</w:t>
      </w:r>
      <w:r>
        <w:t xml:space="preserve">, och </w:t>
      </w:r>
      <w:r>
        <w:rPr>
          <w:i/>
        </w:rPr>
        <w:t>hur AI-output ska granskas kritiskt</w:t>
      </w:r>
      <w:r>
        <w:t>.</w:t>
      </w:r>
    </w:p>
    <w:p>
      <w:r>
        <w:t xml:space="preserve">• </w:t>
      </w:r>
      <w:r>
        <w:rPr>
          <w:b/>
        </w:rPr>
        <w:t>Hantverket:</w:t>
      </w:r>
      <w:r>
        <w:t xml:space="preserve"> mängdträning genomsyrar alla programmeringskurser. Kodgranskning, refactoring och problem-decomposition är återkommande bedömningsmoment.</w:t>
      </w:r>
    </w:p>
    <w:p>
      <w:r>
        <w:t xml:space="preserve">• </w:t>
      </w:r>
      <w:r>
        <w:rPr>
          <w:b/>
        </w:rPr>
        <w:t>Projektkunnande:</w:t>
      </w:r>
      <w:r>
        <w:t xml:space="preserve"> alla projektmoment kör skarpa agila praktiker (stand-up, retro, sprint review). Detta är </w:t>
      </w:r>
      <w:r>
        <w:rPr>
          <w:i/>
        </w:rPr>
        <w:t>inte</w:t>
      </w:r>
      <w:r>
        <w:t xml:space="preserve"> en separat kurs utan en </w:t>
      </w:r>
      <w:r>
        <w:rPr>
          <w:i/>
        </w:rPr>
        <w:t>praktik</w:t>
      </w:r>
      <w:r>
        <w:t>.</w:t>
      </w:r>
    </w:p>
    <w:p>
      <w:r>
        <w:t xml:space="preserve">• </w:t>
      </w:r>
      <w:r>
        <w:rPr>
          <w:b/>
        </w:rPr>
        <w:t>Yrkesmässighet:</w:t>
      </w:r>
      <w:r>
        <w:t xml:space="preserve"> kontinuerlig handledning, mentor­program, reflexionsmoment. Detta är där "senior-trajectory" odlas.</w:t>
      </w:r>
    </w:p>
    <w:p/>
    <w:p>
      <w:pPr>
        <w:pStyle w:val="Title"/>
      </w:pPr>
      <w:r>
        <w:t>5. Senior-trajectory — så bygger vi för 3-5 års framtid</w:t>
      </w:r>
    </w:p>
    <w:p>
      <w:r>
        <w:rPr>
          <w:i/>
        </w:rPr>
        <w:t>"Utbildningen ska producera en utvecklare som är junior idag men senior om 3-5 år."</w:t>
      </w:r>
    </w:p>
    <w:p>
      <w:r>
        <w:t>Detta kräver fyra explicita designval:</w:t>
      </w:r>
    </w:p>
    <w:p>
      <w:r>
        <w:t xml:space="preserve">1. </w:t>
      </w:r>
      <w:r>
        <w:rPr>
          <w:b/>
        </w:rPr>
        <w:t>Lär ut principer, inte bara verktyg.</w:t>
      </w:r>
      <w:r>
        <w:t xml:space="preserve"> Varje teknikval introduceras tillsammans med </w:t>
      </w:r>
      <w:r>
        <w:rPr>
          <w:i/>
        </w:rPr>
        <w:t>varför</w:t>
      </w:r>
      <w:r>
        <w:t xml:space="preserve"> det ser ut som det gör. Studenten ska kunna resonera om alternativ, inte bara reproducera mönster.</w:t>
      </w:r>
    </w:p>
    <w:p>
      <w:r>
        <w:t xml:space="preserve">2. </w:t>
      </w:r>
      <w:r>
        <w:rPr>
          <w:b/>
        </w:rPr>
        <w:t>Arkitektur är obligatoriskt, inte bonus.</w:t>
      </w:r>
      <w:r>
        <w:t xml:space="preserve"> Sex av femton inträdesbarriärer är arkitekturella. Kurs 12 (Systemtänkande och arkitektur) får inte krympas i schema­optimering.</w:t>
      </w:r>
    </w:p>
    <w:p>
      <w:r>
        <w:t xml:space="preserve">3. </w:t>
      </w:r>
      <w:r>
        <w:rPr>
          <w:b/>
        </w:rPr>
        <w:t>Lärautonomi är ett bedömningsmoment, inte en personlighet.</w:t>
      </w:r>
      <w:r>
        <w:t xml:space="preserve"> Studenten ska bevisa att hen kan lära sig nytt material utan kurs — det är vad en senior gör hela tiden. Examensprojektet inkluderar en valbar teknik som inte täckts i undervisningen.</w:t>
      </w:r>
    </w:p>
    <w:p>
      <w:r>
        <w:t xml:space="preserve">4. </w:t>
      </w:r>
      <w:r>
        <w:rPr>
          <w:b/>
        </w:rPr>
        <w:t>Critical thinking om AI-output.</w:t>
      </w:r>
      <w:r>
        <w:t xml:space="preserve"> I en värld där AI genererar 50%+ av kod måste studenten kunna </w:t>
      </w:r>
      <w:r>
        <w:rPr>
          <w:i/>
        </w:rPr>
        <w:t>granska</w:t>
      </w:r>
      <w:r>
        <w:t xml:space="preserve"> AI:s arbete — inte bara producera kod med AI. Detta är en yrkesetisk fråga, inte bara en teknisk.</w:t>
      </w:r>
    </w:p>
    <w:p/>
    <w:p>
      <w:pPr>
        <w:pStyle w:val="Title"/>
      </w:pPr>
      <w:r>
        <w:t>6. AI-arbetsflöde som genomgående tråd</w:t>
      </w:r>
    </w:p>
    <w:p>
      <w:r>
        <w:rPr>
          <w:b/>
        </w:rPr>
        <w:t>Beslut: AI är inte en separat kurs — det är en löpande tråd genom hela utbildningen.</w:t>
      </w:r>
    </w:p>
    <w:p>
      <w:pPr>
        <w:pStyle w:val="Heading2"/>
      </w:pPr>
      <w:r>
        <w:t>Varför inte separat kurs</w:t>
      </w:r>
    </w:p>
    <w:p>
      <w:r>
        <w:t xml:space="preserve">• </w:t>
      </w:r>
      <w:r>
        <w:t>Det "AI-rätta" arbetssättet ändras 4 gånger per år. En separat kurs blir föråldrad innan den körs.</w:t>
      </w:r>
    </w:p>
    <w:p>
      <w:r>
        <w:t xml:space="preserve">• </w:t>
      </w:r>
      <w:r>
        <w:t>Att skilja "AI-arbete" från "vanligt arbete" är att lära fel mental modell. Inom 2 år är distinktionen meningslös för en utvecklare.</w:t>
      </w:r>
    </w:p>
    <w:p>
      <w:r>
        <w:t xml:space="preserve">• </w:t>
      </w:r>
      <w:r>
        <w:t xml:space="preserve">AI är fundamentalt en </w:t>
      </w:r>
      <w:r>
        <w:rPr>
          <w:i/>
        </w:rPr>
        <w:t>arbetssätts­fråga</w:t>
      </w:r>
      <w:r>
        <w:t xml:space="preserve">, inte en kunskaps­domän. Det måste </w:t>
      </w:r>
      <w:r>
        <w:rPr>
          <w:i/>
        </w:rPr>
        <w:t>praktiseras</w:t>
      </w:r>
      <w:r>
        <w:t xml:space="preserve"> i varje annan kurs.</w:t>
      </w:r>
    </w:p>
    <w:p>
      <w:pPr>
        <w:pStyle w:val="Heading2"/>
      </w:pPr>
      <w:r>
        <w:t>Konkreta moment per termin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Termin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AI-fokus</w:t>
            </w:r>
          </w:p>
        </w:tc>
      </w:tr>
      <w:tr>
        <w:tc>
          <w:tcPr>
            <w:tcW w:type="dxa" w:w="4514"/>
          </w:tcPr>
          <w:p>
            <w:r/>
            <w:r>
              <w:t>1</w:t>
            </w:r>
          </w:p>
        </w:tc>
        <w:tc>
          <w:tcPr>
            <w:tcW w:type="dxa" w:w="4514"/>
          </w:tcPr>
          <w:p>
            <w:r/>
            <w:r>
              <w:t>Lär AI-verktyg som assistent (Claude Code, Cursor, Copilot). Förbjudet på kunskapsprov, tillåtet (och förväntat) i workshops och projektarbete. Reflexion om vad man lärt sig vs vad AI gjort.</w:t>
            </w:r>
          </w:p>
        </w:tc>
      </w:tr>
      <w:tr>
        <w:tc>
          <w:tcPr>
            <w:tcW w:type="dxa" w:w="4514"/>
          </w:tcPr>
          <w:p>
            <w:r/>
            <w:r>
              <w:t>2</w:t>
            </w:r>
          </w:p>
        </w:tc>
        <w:tc>
          <w:tcPr>
            <w:tcW w:type="dxa" w:w="4514"/>
          </w:tcPr>
          <w:p>
            <w:r/>
            <w:r>
              <w:t>AI-assisterad UI-utveckling, designsystem-iteration, kritisk granskning av AI-genererad React-kod.</w:t>
            </w:r>
          </w:p>
        </w:tc>
      </w:tr>
      <w:tr>
        <w:tc>
          <w:tcPr>
            <w:tcW w:type="dxa" w:w="4514"/>
          </w:tcPr>
          <w:p>
            <w:r/>
            <w:r>
              <w:t>3</w:t>
            </w:r>
          </w:p>
        </w:tc>
        <w:tc>
          <w:tcPr>
            <w:tcW w:type="dxa" w:w="4514"/>
          </w:tcPr>
          <w:p>
            <w:r/>
            <w:r>
              <w:t>AI för API-design (specgenerering, mock-data, testfall), context engineering, säkerhetsgranskning av AI-output.</w:t>
            </w:r>
          </w:p>
        </w:tc>
      </w:tr>
      <w:tr>
        <w:tc>
          <w:tcPr>
            <w:tcW w:type="dxa" w:w="4514"/>
          </w:tcPr>
          <w:p>
            <w:r/>
            <w:r>
              <w:t>4</w:t>
            </w:r>
          </w:p>
        </w:tc>
        <w:tc>
          <w:tcPr>
            <w:tcW w:type="dxa" w:w="4514"/>
          </w:tcPr>
          <w:p>
            <w:r/>
            <w:r>
              <w:t>Agentic workflows i större projekt (Claude Code med custom skills, multi-agent), yrkesetik och GDPR vid AI-användning.</w:t>
            </w:r>
          </w:p>
        </w:tc>
      </w:tr>
      <w:tr>
        <w:tc>
          <w:tcPr>
            <w:tcW w:type="dxa" w:w="4514"/>
          </w:tcPr>
          <w:p>
            <w:r/>
            <w:r>
              <w:t>LIA</w:t>
            </w:r>
          </w:p>
        </w:tc>
        <w:tc>
          <w:tcPr>
            <w:tcW w:type="dxa" w:w="4514"/>
          </w:tcPr>
          <w:p>
            <w:r/>
            <w:r>
              <w:t>Anpassning till varje företags AI-policy och verktygsstack.</w:t>
            </w:r>
          </w:p>
        </w:tc>
      </w:tr>
    </w:tbl>
    <w:p>
      <w:pPr>
        <w:pStyle w:val="Heading2"/>
      </w:pPr>
      <w:r>
        <w:t>Lärar­kompetenskrav</w:t>
      </w:r>
    </w:p>
    <w:p>
      <w:r>
        <w:t xml:space="preserve">Att undervisa detta kräver lärare som </w:t>
      </w:r>
      <w:r>
        <w:rPr>
          <w:i/>
        </w:rPr>
        <w:t>själva</w:t>
      </w:r>
      <w:r>
        <w:t xml:space="preserve"> använder AI-verktyg dagligen i arbete. Lärarrekrytering måste väga in detta. Branschråd ska besättas med medlemmar som har AI-arbetsflöde i sin egen produktion.</w:t>
      </w:r>
    </w:p>
    <w:p/>
    <w:p>
      <w:pPr>
        <w:pStyle w:val="Title"/>
      </w:pPr>
      <w:r>
        <w:t>7. LIA-strategi — huvudanställningskanalen</w:t>
      </w:r>
    </w:p>
    <w:p>
      <w:r>
        <w:t xml:space="preserve">Eftersom explicit junior-annonser är 2% av marknaden måste LIA designas som </w:t>
      </w:r>
      <w:r>
        <w:rPr>
          <w:i/>
        </w:rPr>
        <w:t>anställningsförberedelse</w:t>
      </w:r>
      <w:r>
        <w:t>, inte bara praktik.</w:t>
      </w:r>
    </w:p>
    <w:p>
      <w:pPr>
        <w:pStyle w:val="Heading2"/>
      </w:pPr>
      <w:r>
        <w:t>LIA-format</w:t>
      </w:r>
    </w:p>
    <w:p>
      <w:r>
        <w:t xml:space="preserve">• </w:t>
      </w:r>
      <w:r>
        <w:rPr>
          <w:b/>
        </w:rPr>
        <w:t>20 veckor</w:t>
      </w:r>
      <w:r>
        <w:t xml:space="preserve">, en period (inte uppdelad). Tidsperioden ska räcka för att studenten ska kunna bidra med ett </w:t>
      </w:r>
      <w:r>
        <w:rPr>
          <w:i/>
        </w:rPr>
        <w:t>levererat</w:t>
      </w:r>
      <w:r>
        <w:t xml:space="preserve"> projekt.</w:t>
      </w:r>
    </w:p>
    <w:p>
      <w:r>
        <w:t xml:space="preserve">• </w:t>
      </w:r>
      <w:r>
        <w:t xml:space="preserve">LIA placeras </w:t>
      </w:r>
      <w:r>
        <w:rPr>
          <w:b/>
        </w:rPr>
        <w:t>efter termin 4</w:t>
      </w:r>
      <w:r>
        <w:t>, så att studenten kommer ut med full kompetens­ryggsäck.</w:t>
      </w:r>
    </w:p>
    <w:p>
      <w:pPr>
        <w:pStyle w:val="Heading2"/>
      </w:pPr>
      <w:r>
        <w:t>Värdval och relationer</w:t>
      </w:r>
    </w:p>
    <w:p>
      <w:r>
        <w:t xml:space="preserve">• </w:t>
      </w:r>
      <w:r>
        <w:rPr>
          <w:b/>
        </w:rPr>
        <w:t>Branschråd</w:t>
      </w:r>
      <w:r>
        <w:t xml:space="preserve"> med 5-8 företag i tech-scenen (start-up, scale-up, byrå, produkt­bolag). Branschrådets primära syfte är LIA-platser, sekundära är curriculum­råd.</w:t>
      </w:r>
    </w:p>
    <w:p>
      <w:r>
        <w:t xml:space="preserve">• </w:t>
      </w:r>
      <w:r>
        <w:rPr>
          <w:b/>
        </w:rPr>
        <w:t>Inriktning på företag som anställer</w:t>
      </w:r>
      <w:r>
        <w:t>. Skolan kvalitetssäkrar att LIA-värdar har dokumenterad junior-anställning.</w:t>
      </w:r>
    </w:p>
    <w:p>
      <w:pPr>
        <w:pStyle w:val="Heading2"/>
      </w:pPr>
      <w:r>
        <w:t>LIA-projekt som leveransbevis</w:t>
      </w:r>
    </w:p>
    <w:p>
      <w:r>
        <w:t xml:space="preserve">• </w:t>
      </w:r>
      <w:r>
        <w:t xml:space="preserve">Studenten ska komma ut med ett </w:t>
      </w:r>
      <w:r>
        <w:rPr>
          <w:i/>
        </w:rPr>
        <w:t>visningsbart</w:t>
      </w:r>
      <w:r>
        <w:t xml:space="preserve"> projekt: en deployad applikation, en pull-request mergad i värdens kodbas, en presentation till värdens team.</w:t>
      </w:r>
    </w:p>
    <w:p>
      <w:r>
        <w:t xml:space="preserve">• </w:t>
      </w:r>
      <w:r>
        <w:t xml:space="preserve">Detta blir CV-material och </w:t>
      </w:r>
      <w:r>
        <w:rPr>
          <w:i/>
        </w:rPr>
        <w:t>portföljbevis</w:t>
      </w:r>
      <w:r>
        <w:t xml:space="preserve"> — den utan junior-titel-jakt på arbetsmarknaden.</w:t>
      </w:r>
    </w:p>
    <w:p>
      <w:pPr>
        <w:pStyle w:val="Heading2"/>
      </w:pPr>
      <w:r>
        <w:t>Mätning</w:t>
      </w:r>
    </w:p>
    <w:p>
      <w:r>
        <w:t>Andelen studenter som får anställning hos LIA-värd inom 3 månader efter LIA-slut är ett primärt KPI för programmet. Mål: 40-50%.</w:t>
      </w:r>
    </w:p>
    <w:p/>
    <w:p>
      <w:pPr>
        <w:pStyle w:val="Title"/>
      </w:pPr>
      <w:r>
        <w:t>8. Risker och mitigationsåtgärder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Sannolikhet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Konsekvens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Mitigering</w:t>
            </w:r>
          </w:p>
        </w:tc>
      </w:tr>
      <w:tr>
        <w:tc>
          <w:tcPr>
            <w:tcW w:type="dxa" w:w="2257"/>
          </w:tcPr>
          <w:p>
            <w:r/>
            <w:r>
              <w:t>Stack-skifte under utbildningens livstid (t.ex. React tappar marknadsandel)</w:t>
            </w:r>
          </w:p>
        </w:tc>
        <w:tc>
          <w:tcPr>
            <w:tcW w:type="dxa" w:w="2257"/>
          </w:tcPr>
          <w:p>
            <w:r/>
            <w:r>
              <w:t>Medium</w:t>
            </w:r>
          </w:p>
        </w:tc>
        <w:tc>
          <w:tcPr>
            <w:tcW w:type="dxa" w:w="2257"/>
          </w:tcPr>
          <w:p>
            <w:r/>
            <w:r>
              <w:t>Hög — utbildningen designad mot specifik stack</w:t>
            </w:r>
          </w:p>
        </w:tc>
        <w:tc>
          <w:tcPr>
            <w:tcW w:type="dxa" w:w="2257"/>
          </w:tcPr>
          <w:p>
            <w:r/>
            <w:r>
              <w:t xml:space="preserve">Lär ut </w:t>
            </w:r>
            <w:r>
              <w:rPr>
                <w:b/>
              </w:rPr>
              <w:t>principer först</w:t>
            </w:r>
            <w:r>
              <w:t>, ramverk-flytt är då 2-3 v workshop. Kör analysen om varje år.</w:t>
            </w:r>
          </w:p>
        </w:tc>
      </w:tr>
      <w:tr>
        <w:tc>
          <w:tcPr>
            <w:tcW w:type="dxa" w:w="2257"/>
          </w:tcPr>
          <w:p>
            <w:r/>
            <w:r>
              <w:t>AI förändrar yrket så att junior-rollen i sig krymper</w:t>
            </w:r>
          </w:p>
        </w:tc>
        <w:tc>
          <w:tcPr>
            <w:tcW w:type="dxa" w:w="2257"/>
          </w:tcPr>
          <w:p>
            <w:r/>
            <w:r>
              <w:t>Hög</w:t>
            </w:r>
          </w:p>
        </w:tc>
        <w:tc>
          <w:tcPr>
            <w:tcW w:type="dxa" w:w="2257"/>
          </w:tcPr>
          <w:p>
            <w:r/>
            <w:r>
              <w:t>Hög — anställningsbarheten påverkas direkt</w:t>
            </w:r>
          </w:p>
        </w:tc>
        <w:tc>
          <w:tcPr>
            <w:tcW w:type="dxa" w:w="2257"/>
          </w:tcPr>
          <w:p>
            <w:r/>
            <w:r>
              <w:t xml:space="preserve">Designa explicit för "junior som </w:t>
            </w:r>
            <w:r>
              <w:rPr>
                <w:i/>
              </w:rPr>
              <w:t>använder</w:t>
            </w:r>
            <w:r>
              <w:t xml:space="preserve"> AI", inte "junior som </w:t>
            </w:r>
            <w:r>
              <w:rPr>
                <w:i/>
              </w:rPr>
              <w:t>gör</w:t>
            </w:r>
            <w:r>
              <w:t xml:space="preserve"> det AI inte kan". Differentiera mot AI-naiva utbildningar.</w:t>
            </w:r>
          </w:p>
        </w:tc>
      </w:tr>
      <w:tr>
        <w:tc>
          <w:tcPr>
            <w:tcW w:type="dxa" w:w="2257"/>
          </w:tcPr>
          <w:p>
            <w:r/>
            <w:r>
              <w:t>LIA-platser blir bristvara om svensk tech-marknad försämras</w:t>
            </w:r>
          </w:p>
        </w:tc>
        <w:tc>
          <w:tcPr>
            <w:tcW w:type="dxa" w:w="2257"/>
          </w:tcPr>
          <w:p>
            <w:r/>
            <w:r>
              <w:t>Medium</w:t>
            </w:r>
          </w:p>
        </w:tc>
        <w:tc>
          <w:tcPr>
            <w:tcW w:type="dxa" w:w="2257"/>
          </w:tcPr>
          <w:p>
            <w:r/>
            <w:r>
              <w:t>Hög — anställningsmål kraschar</w:t>
            </w:r>
          </w:p>
        </w:tc>
        <w:tc>
          <w:tcPr>
            <w:tcW w:type="dxa" w:w="2257"/>
          </w:tcPr>
          <w:p>
            <w:r/>
            <w:r>
              <w:t>Branschråd med formellt åtagande. Plan B: utländsk LIA (remote).</w:t>
            </w:r>
          </w:p>
        </w:tc>
      </w:tr>
      <w:tr>
        <w:tc>
          <w:tcPr>
            <w:tcW w:type="dxa" w:w="2257"/>
          </w:tcPr>
          <w:p>
            <w:r/>
            <w:r>
              <w:t>Lärarrekrytering — få lärare har TS/React/Node + AI-arbetsflöde + pedagogisk erfarenhet</w:t>
            </w:r>
          </w:p>
        </w:tc>
        <w:tc>
          <w:tcPr>
            <w:tcW w:type="dxa" w:w="2257"/>
          </w:tcPr>
          <w:p>
            <w:r/>
            <w:r>
              <w:t>Hög</w:t>
            </w:r>
          </w:p>
        </w:tc>
        <w:tc>
          <w:tcPr>
            <w:tcW w:type="dxa" w:w="2257"/>
          </w:tcPr>
          <w:p>
            <w:r/>
            <w:r>
              <w:t>Medium-hög</w:t>
            </w:r>
          </w:p>
        </w:tc>
        <w:tc>
          <w:tcPr>
            <w:tcW w:type="dxa" w:w="2257"/>
          </w:tcPr>
          <w:p>
            <w:r/>
            <w:r>
              <w:t>Hybrid­modell: anlita branschpraktiker som adjunkter för 30-50% av undervisningen. Inhouse-personal för didaktik.</w:t>
            </w:r>
          </w:p>
        </w:tc>
      </w:tr>
      <w:tr>
        <w:tc>
          <w:tcPr>
            <w:tcW w:type="dxa" w:w="2257"/>
          </w:tcPr>
          <w:p>
            <w:r/>
            <w:r>
              <w:t>Programmet konkurrerar trots allt med Java/.NET-programmen om sökande</w:t>
            </w:r>
          </w:p>
        </w:tc>
        <w:tc>
          <w:tcPr>
            <w:tcW w:type="dxa" w:w="2257"/>
          </w:tcPr>
          <w:p>
            <w:r/>
            <w:r>
              <w:t>Medium</w:t>
            </w:r>
          </w:p>
        </w:tc>
        <w:tc>
          <w:tcPr>
            <w:tcW w:type="dxa" w:w="2257"/>
          </w:tcPr>
          <w:p>
            <w:r/>
            <w:r>
              <w:t>Medium</w:t>
            </w:r>
          </w:p>
        </w:tc>
        <w:tc>
          <w:tcPr>
            <w:tcW w:type="dxa" w:w="2257"/>
          </w:tcPr>
          <w:p>
            <w:r/>
            <w:r>
              <w:t>Tydlig profilering mot start-up/scale-up i marknadsföring. Olika sökandegrupper.</w:t>
            </w:r>
          </w:p>
        </w:tc>
      </w:tr>
      <w:tr>
        <w:tc>
          <w:tcPr>
            <w:tcW w:type="dxa" w:w="2257"/>
          </w:tcPr>
          <w:p>
            <w:r/>
            <w:r>
              <w:t>Studenter med Programmering 1 är för tunna för Y1-tempot</w:t>
            </w:r>
          </w:p>
        </w:tc>
        <w:tc>
          <w:tcPr>
            <w:tcW w:type="dxa" w:w="2257"/>
          </w:tcPr>
          <w:p>
            <w:r/>
            <w:r>
              <w:t>Hög</w:t>
            </w:r>
          </w:p>
        </w:tc>
        <w:tc>
          <w:tcPr>
            <w:tcW w:type="dxa" w:w="2257"/>
          </w:tcPr>
          <w:p>
            <w:r/>
            <w:r>
              <w:t>Medium</w:t>
            </w:r>
          </w:p>
        </w:tc>
        <w:tc>
          <w:tcPr>
            <w:tcW w:type="dxa" w:w="2257"/>
          </w:tcPr>
          <w:p>
            <w:r/>
            <w:r>
              <w:t>Termin 1 designad explicit för noll-bas. Tidig diagnos och stödjande resurser för svaga studenter (extra workshop, peer-tutoring).</w:t>
            </w:r>
          </w:p>
        </w:tc>
      </w:tr>
      <w:tr>
        <w:tc>
          <w:tcPr>
            <w:tcW w:type="dxa" w:w="2257"/>
          </w:tcPr>
          <w:p>
            <w:r/>
            <w:r>
              <w:t>MYH-ansökan accepteras inte (för likt befintliga utbildningar)</w:t>
            </w:r>
          </w:p>
        </w:tc>
        <w:tc>
          <w:tcPr>
            <w:tcW w:type="dxa" w:w="2257"/>
          </w:tcPr>
          <w:p>
            <w:r/>
            <w:r>
              <w:t>Låg-medium</w:t>
            </w:r>
          </w:p>
        </w:tc>
        <w:tc>
          <w:tcPr>
            <w:tcW w:type="dxa" w:w="2257"/>
          </w:tcPr>
          <w:p>
            <w:r/>
            <w:r>
              <w:t>Total — programmet startar ej</w:t>
            </w:r>
          </w:p>
        </w:tc>
        <w:tc>
          <w:tcPr>
            <w:tcW w:type="dxa" w:w="2257"/>
          </w:tcPr>
          <w:p>
            <w:r/>
            <w:r>
              <w:t>Tydlig differentierings­motivering i ansökan (denna fil). Visa i ansökan att samtliga 3 program har olika målgrupper och tekniker.</w:t>
            </w:r>
          </w:p>
        </w:tc>
      </w:tr>
    </w:tbl>
    <w:p/>
    <w:p>
      <w:pPr>
        <w:pStyle w:val="Title"/>
      </w:pPr>
      <w:r>
        <w:t>9. Mätbarhet och uppföljning</w:t>
      </w:r>
    </w:p>
    <w:p>
      <w:pPr>
        <w:pStyle w:val="Heading2"/>
      </w:pPr>
      <w:r>
        <w:t>Primära KPI:er (för MYH-uppföljning)</w:t>
      </w:r>
    </w:p>
    <w:p>
      <w:r>
        <w:t xml:space="preserve">• </w:t>
      </w:r>
      <w:r>
        <w:rPr>
          <w:b/>
        </w:rPr>
        <w:t>Examensgrad</w:t>
      </w:r>
      <w:r>
        <w:t xml:space="preserve"> — mål: ≥80%</w:t>
      </w:r>
    </w:p>
    <w:p>
      <w:r>
        <w:t xml:space="preserve">• </w:t>
      </w:r>
      <w:r>
        <w:rPr>
          <w:b/>
        </w:rPr>
        <w:t>Anställningsgrad inom 6 månader</w:t>
      </w:r>
      <w:r>
        <w:t xml:space="preserve"> — mål: ≥85%</w:t>
      </w:r>
    </w:p>
    <w:p>
      <w:r>
        <w:t xml:space="preserve">• </w:t>
      </w:r>
      <w:r>
        <w:rPr>
          <w:b/>
        </w:rPr>
        <w:t>Anställningsrelevant</w:t>
      </w:r>
      <w:r>
        <w:t xml:space="preserve"> — mål: ≥75% inom utbildningens kompetensspår</w:t>
      </w:r>
    </w:p>
    <w:p>
      <w:pPr>
        <w:pStyle w:val="Heading2"/>
      </w:pPr>
      <w:r>
        <w:t>Operativa KPI:er</w:t>
      </w:r>
    </w:p>
    <w:p>
      <w:r>
        <w:t xml:space="preserve">• </w:t>
      </w:r>
      <w:r>
        <w:rPr>
          <w:b/>
        </w:rPr>
        <w:t>LIA→anställning</w:t>
      </w:r>
      <w:r>
        <w:t xml:space="preserve"> — andel studenter anställda av LIA-värd inom 3 månader. Mål: 40-50%.</w:t>
      </w:r>
    </w:p>
    <w:p>
      <w:r>
        <w:t xml:space="preserve">• </w:t>
      </w:r>
      <w:r>
        <w:rPr>
          <w:b/>
        </w:rPr>
        <w:t>Lärar-NPS</w:t>
      </w:r>
      <w:r>
        <w:t xml:space="preserve"> — hur lärarna betygsätter programmet termin för termin.</w:t>
      </w:r>
    </w:p>
    <w:p>
      <w:r>
        <w:t xml:space="preserve">• </w:t>
      </w:r>
      <w:r>
        <w:rPr>
          <w:b/>
        </w:rPr>
        <w:t>Student-NPS efter examen</w:t>
      </w:r>
      <w:r>
        <w:t xml:space="preserve"> — vad rekommenderar utexaminerade?</w:t>
      </w:r>
    </w:p>
    <w:p>
      <w:pPr>
        <w:pStyle w:val="Heading2"/>
      </w:pPr>
      <w:r>
        <w:t>Återkommande marknadsanalys</w:t>
      </w:r>
    </w:p>
    <w:p>
      <w:r>
        <w:t>Denna analys (</w:t>
      </w:r>
      <w:r>
        <w:rPr>
          <w:rFonts w:ascii="Consolas" w:hAnsi="Consolas"/>
        </w:rPr>
        <w:t>output/report.md</w:t>
      </w:r>
      <w:r>
        <w:t xml:space="preserve">) körs </w:t>
      </w:r>
      <w:r>
        <w:rPr>
          <w:b/>
        </w:rPr>
        <w:t>inför varje ansökningsomgång till MYH</w:t>
      </w:r>
      <w:r>
        <w:t xml:space="preserve"> och </w:t>
      </w:r>
      <w:r>
        <w:rPr>
          <w:b/>
        </w:rPr>
        <w:t>inför varje större kursplane­revision</w:t>
      </w:r>
      <w:r>
        <w:t xml:space="preserve">. Datapipelinen i </w:t>
      </w:r>
      <w:r>
        <w:rPr>
          <w:rFonts w:ascii="Consolas" w:hAnsi="Consolas"/>
        </w:rPr>
        <w:t>perfect-fullstack</w:t>
      </w:r>
      <w:r>
        <w:t>-repot är byggd för att köras om utan manuella ingrepp.</w:t>
      </w:r>
    </w:p>
    <w:p/>
    <w:p>
      <w:pPr>
        <w:pStyle w:val="Title"/>
      </w:pPr>
      <w:r>
        <w:t>10. Beslut som efterfrågas</w:t>
      </w:r>
    </w:p>
    <w:p>
      <w:r>
        <w:t>Ledningsgruppen ombeds besluta om:</w:t>
      </w:r>
    </w:p>
    <w:p>
      <w:r>
        <w:t xml:space="preserve">1. </w:t>
      </w:r>
      <w:r>
        <w:rPr>
          <w:b/>
        </w:rPr>
        <w:t>Startbeslut</w:t>
      </w:r>
      <w:r>
        <w:t xml:space="preserve"> — ska MYH-ansökan lämnas in för utbildningsstart augusti 2027?</w:t>
      </w:r>
    </w:p>
    <w:p>
      <w:r>
        <w:t xml:space="preserve">2. </w:t>
      </w:r>
      <w:r>
        <w:rPr>
          <w:b/>
        </w:rPr>
        <w:t>Antal platser</w:t>
      </w:r>
      <w:r>
        <w:t xml:space="preserve"> — föreslås 25–30 studenter per kohort.</w:t>
      </w:r>
    </w:p>
    <w:p>
      <w:r>
        <w:t xml:space="preserve">3. </w:t>
      </w:r>
      <w:r>
        <w:rPr>
          <w:b/>
        </w:rPr>
        <w:t>Lärarrekrytering</w:t>
      </w:r>
      <w:r>
        <w:t xml:space="preserve"> — ska rekrytering inledas under hösten 2026? Vilken budgetram?</w:t>
      </w:r>
    </w:p>
    <w:p>
      <w:r>
        <w:t xml:space="preserve">4. </w:t>
      </w:r>
      <w:r>
        <w:rPr>
          <w:b/>
        </w:rPr>
        <w:t>Branschråd</w:t>
      </w:r>
      <w:r>
        <w:t xml:space="preserve"> — vilka företag bjuds in? Sandra föreslår en kortlista i separat dokument.</w:t>
      </w:r>
    </w:p>
    <w:p>
      <w:r>
        <w:t xml:space="preserve">5. </w:t>
      </w:r>
      <w:r>
        <w:rPr>
          <w:b/>
        </w:rPr>
        <w:t>Profilerings­namn</w:t>
      </w:r>
      <w:r>
        <w:t xml:space="preserve"> — föreslagna alternativ: </w:t>
      </w:r>
      <w:r>
        <w:rPr>
          <w:i/>
        </w:rPr>
        <w:t>Fullstack Web Engineer</w:t>
      </w:r>
      <w:r>
        <w:t xml:space="preserve">, </w:t>
      </w:r>
      <w:r>
        <w:rPr>
          <w:i/>
        </w:rPr>
        <w:t>Modern Webbutveckling</w:t>
      </w:r>
      <w:r>
        <w:t xml:space="preserve">, </w:t>
      </w:r>
      <w:r>
        <w:rPr>
          <w:i/>
        </w:rPr>
        <w:t>Fullstack Cloud-Native</w:t>
      </w:r>
      <w:r>
        <w:t>. Beslut kan tas senare.</w:t>
      </w:r>
    </w:p>
    <w:p>
      <w:r>
        <w:t xml:space="preserve">6. </w:t>
      </w:r>
      <w:r>
        <w:rPr>
          <w:b/>
        </w:rPr>
        <w:t>Budget för marknadsanalysens årliga återkörning</w:t>
      </w:r>
      <w:r>
        <w:t xml:space="preserve"> — ~50 SEK i API-kostnader per körning. Försumbart.</w:t>
      </w:r>
    </w:p>
    <w:p/>
    <w:p>
      <w:pPr>
        <w:pStyle w:val="Title"/>
      </w:pPr>
      <w:r>
        <w:t>Bilagor</w:t>
      </w:r>
    </w:p>
    <w:p>
      <w:r>
        <w:t xml:space="preserve">• </w:t>
      </w:r>
      <w:r>
        <w:rPr>
          <w:rFonts w:ascii="Consolas" w:hAnsi="Consolas"/>
        </w:rPr>
        <w:t>UPPDRAG.md</w:t>
      </w:r>
      <w:r>
        <w:t xml:space="preserve"> — Uppdragsbeskrivning med taxonomi och resonemang</w:t>
      </w:r>
    </w:p>
    <w:p>
      <w:r>
        <w:t xml:space="preserve">• </w:t>
      </w:r>
      <w:r>
        <w:rPr>
          <w:rFonts w:ascii="Consolas" w:hAnsi="Consolas"/>
        </w:rPr>
        <w:t>output/report.md</w:t>
      </w:r>
      <w:r>
        <w:t xml:space="preserve"> — Datadriven kompetensanalys med fullständiga frekvenstabeller</w:t>
      </w:r>
    </w:p>
    <w:p>
      <w:r>
        <w:t xml:space="preserve">• </w:t>
      </w:r>
      <w:r>
        <w:rPr>
          <w:rFonts w:ascii="Consolas" w:hAnsi="Consolas"/>
        </w:rPr>
        <w:t>data/processed/ads.json</w:t>
      </w:r>
      <w:r>
        <w:t xml:space="preserve"> — Sonnet-klassificerade annonser (453 st)</w:t>
      </w:r>
    </w:p>
    <w:p>
      <w:r>
        <w:t xml:space="preserve">• </w:t>
      </w:r>
      <w:r>
        <w:rPr>
          <w:rFonts w:ascii="Consolas" w:hAnsi="Consolas"/>
        </w:rPr>
        <w:t>data/processed/aggregate.json</w:t>
      </w:r>
      <w:r>
        <w:t xml:space="preserve"> — Aggregerade signaler</w:t>
      </w:r>
    </w:p>
    <w:p>
      <w:r>
        <w:t xml:space="preserve">• </w:t>
      </w:r>
      <w:r>
        <w:rPr>
          <w:rFonts w:ascii="Consolas" w:hAnsi="Consolas"/>
        </w:rPr>
        <w:t>prompts/extraction_system.md</w:t>
      </w:r>
      <w:r>
        <w:t xml:space="preserve"> — LLM-prompt för reproducibilitet</w:t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