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ofiaSans-bold.ttf" ContentType="application/x-font-ttf"/>
  <Override PartName="/word/fonts/SofiaSans-boldItalic.ttf" ContentType="application/x-font-ttf"/>
  <Override PartName="/word/fonts/SofiaSans-italic.ttf" ContentType="application/x-font-ttf"/>
  <Override PartName="/word/fonts/SofiaSans-regular.ttf" ContentType="application/x-font-ttf"/>
  <Override PartName="/word/fonts/SofiaSansCondensed-bold.ttf" ContentType="application/x-font-ttf"/>
  <Override PartName="/word/fonts/SofiaSansCondensed-boldItalic.ttf" ContentType="application/x-font-ttf"/>
  <Override PartName="/word/fonts/SofiaSansCondensed-italic.ttf" ContentType="application/x-font-ttf"/>
  <Override PartName="/word/fonts/SofiaSansCondensed-regular.ttf" ContentType="application/x-font-ttf"/>
  <Override PartName="/word/fonts/SofiaSansCondensedLight-bold.ttf" ContentType="application/x-font-ttf"/>
  <Override PartName="/word/fonts/SofiaSansCondensedLight-boldItalic.ttf" ContentType="application/x-font-ttf"/>
  <Override PartName="/word/fonts/SofiaSansCondensedLight-italic.ttf" ContentType="application/x-font-ttf"/>
  <Override PartName="/word/fonts/SofiaSansCondensedLight-regular.ttf" ContentType="application/x-font-ttf"/>
  <Override PartName="/word/fonts/SofiaSansExtraCondensed-bold.ttf" ContentType="application/x-font-ttf"/>
  <Override PartName="/word/fonts/SofiaSansExtraCondensed-boldItalic.ttf" ContentType="application/x-font-ttf"/>
  <Override PartName="/word/fonts/SofiaSansExtraCondensed-italic.ttf" ContentType="application/x-font-ttf"/>
  <Override PartName="/word/fonts/SofiaSansExtraCondensed-regular.ttf" ContentType="application/x-font-ttf"/>
  <Override PartName="/word/fonts/SofiaSansSemiBold-bold.ttf" ContentType="application/x-font-ttf"/>
  <Override PartName="/word/fonts/SofiaSansSemiBold-boldItalic.ttf" ContentType="application/x-font-ttf"/>
  <Override PartName="/word/fonts/SofiaSansSemiBold-italic.ttf" ContentType="application/x-font-ttf"/>
  <Override PartName="/word/fonts/SofiaSansSemiBol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Formativ bedömning i FJS26 — operationell handledning</w:t>
      </w:r>
    </w:p>
    <w:p>
      <w:r>
        <w:rPr>
          <w:i/>
        </w:rPr>
        <w:t xml:space="preserve">Detta dokument operationaliserar pedagogprincipen som dokumenteras i </w:t>
      </w:r>
      <w:r>
        <w:rPr>
          <w:rFonts w:ascii="Consolas" w:hAnsi="Consolas"/>
          <w:i/>
        </w:rPr>
        <w:t>UPPDRAG.md §6</w:t>
      </w:r>
      <w:r>
        <w:rPr>
          <w:i/>
        </w:rPr>
        <w:t>.</w:t>
      </w:r>
    </w:p>
    <w:p>
      <w:r>
        <w:rPr>
          <w:i/>
        </w:rPr>
        <w:t>*</w:t>
      </w:r>
      <w:r>
        <w:rPr>
          <w:i/>
        </w:rPr>
        <w:t xml:space="preserve">UPPDRAG.md säger </w:t>
      </w:r>
      <w:r>
        <w:rPr>
          <w:i/>
        </w:rPr>
        <w:t>varför</w:t>
      </w:r>
      <w:r>
        <w:rPr>
          <w:i/>
        </w:rPr>
        <w:t xml:space="preserve">; detta dokument säger </w:t>
      </w:r>
      <w:r>
        <w:rPr>
          <w:i/>
        </w:rPr>
        <w:t>hur</w:t>
      </w:r>
      <w:r>
        <w:rPr>
          <w:i/>
        </w:rPr>
        <w:t>.</w:t>
      </w:r>
      <w:r>
        <w:rPr>
          <w:i/>
        </w:rPr>
        <w:t>*</w:t>
      </w:r>
    </w:p>
    <w:p/>
    <w:p>
      <w:pPr>
        <w:pStyle w:val="Title"/>
      </w:pPr>
      <w:r>
        <w:t>1. Översikt</w:t>
      </w:r>
    </w:p>
    <w:p>
      <w:r>
        <w:t xml:space="preserve">Formativ bedömning är </w:t>
      </w:r>
      <w:r>
        <w:rPr>
          <w:b/>
        </w:rPr>
        <w:t>löpande, lågsanktionerad återkoppling</w:t>
      </w:r>
      <w:r>
        <w:t xml:space="preserve"> som stödjer lärandet snarare än bara graderar det. Den är distinkt från summativ bedömning (slutbetyg), men kan i specifika fall glida över i summativ form — t.ex. när code review körs vid slutleverans (se §5).</w:t>
      </w:r>
    </w:p>
    <w:p>
      <w:r>
        <w:t>Code review är den centrala mekanismen, men inte den enda. Andra mekanismer dokumenteras i §4. Workshops är den primära arenan där formativ bedömning och annan pedagogik faktiskt sker — se §2.</w:t>
      </w:r>
    </w:p>
    <w:p/>
    <w:p>
      <w:pPr>
        <w:pStyle w:val="Title"/>
      </w:pPr>
      <w:r>
        <w:t>2. Workshops som arbetsform</w:t>
      </w:r>
    </w:p>
    <w:p>
      <w:r>
        <w:t>Workshops är den primära arbetsformen genom hela programmet — lärar-ledda eller lärar-närvarande tillfällen där studenten arbetar med uppgifter, code-alongs, completion problems och peer-aktiviteter. De fungerar som den arena där formativ bedömning och annan pedagogik (se §3–4) faktiskt sker.</w:t>
      </w:r>
    </w:p>
    <w:p>
      <w:pPr>
        <w:pStyle w:val="Heading2"/>
      </w:pPr>
      <w:r>
        <w:t>2.1 Status: innehållet obligatoriskt, närvaron förväntad</w:t>
      </w:r>
    </w:p>
    <w:p>
      <w:r>
        <w:t xml:space="preserve">Workshops är inte formellt obligatoriska närvaromässigt — i YH:s mening graderas inte närvaro. Däremot är </w:t>
      </w:r>
      <w:r>
        <w:rPr>
          <w:b/>
        </w:rPr>
        <w:t>innehållet</w:t>
      </w:r>
      <w:r>
        <w:t xml:space="preserve"> del av kursen och förväntas läras. Studenten förväntas vara närvarande för att:</w:t>
      </w:r>
    </w:p>
    <w:p>
      <w:r>
        <w:t xml:space="preserve">• </w:t>
      </w:r>
      <w:r>
        <w:t>Möta worked examples och code-alongs i nuet (CLT-pedagogiken)</w:t>
      </w:r>
    </w:p>
    <w:p>
      <w:r>
        <w:t xml:space="preserve">• </w:t>
      </w:r>
      <w:r>
        <w:t>Få och ge formativ återkoppling (lärare + peer)</w:t>
      </w:r>
    </w:p>
    <w:p>
      <w:r>
        <w:t xml:space="preserve">• </w:t>
      </w:r>
      <w:r>
        <w:t>Träna progressionen från noviskt till självständigt arbete (fading)</w:t>
      </w:r>
    </w:p>
    <w:p>
      <w:r>
        <w:t xml:space="preserve">• </w:t>
      </w:r>
      <w:r>
        <w:t>Bygga den yrkesmässighet och självledningsförmåga som examineras i kompetensmål</w:t>
      </w:r>
    </w:p>
    <w:p>
      <w:r>
        <w:t xml:space="preserve">Studenter som upprepat skippar workshops har </w:t>
      </w:r>
      <w:r>
        <w:rPr>
          <w:b/>
        </w:rPr>
        <w:t>betydligt högre risk att inte klara examination</w:t>
      </w:r>
      <w:r>
        <w:t>. Detta kommuniceras till studenten vid kursstart.</w:t>
      </w:r>
    </w:p>
    <w:p>
      <w:pPr>
        <w:pStyle w:val="Heading2"/>
      </w:pPr>
      <w:r>
        <w:t>2.2 Vad som händer i workshops</w:t>
      </w:r>
    </w:p>
    <w:p>
      <w:r>
        <w:t xml:space="preserve">• </w:t>
      </w:r>
      <w:r>
        <w:rPr>
          <w:b/>
        </w:rPr>
        <w:t>Code-alongs</w:t>
      </w:r>
      <w:r>
        <w:t xml:space="preserve"> — lärare och student kodar parallellt med narration (worked examples i realtid)</w:t>
      </w:r>
    </w:p>
    <w:p>
      <w:r>
        <w:t xml:space="preserve">• </w:t>
      </w:r>
      <w:r>
        <w:rPr>
          <w:b/>
        </w:rPr>
        <w:t>Completion problems</w:t>
      </w:r>
      <w:r>
        <w:t xml:space="preserve"> — studenten kompletterar förberedda kodfragment</w:t>
      </w:r>
    </w:p>
    <w:p>
      <w:r>
        <w:t xml:space="preserve">• </w:t>
      </w:r>
      <w:r>
        <w:rPr>
          <w:b/>
        </w:rPr>
        <w:t>Self-directed work</w:t>
      </w:r>
      <w:r>
        <w:t xml:space="preserve"> — studenten arbetar med kursuppgifter, lärare finns för stöttning</w:t>
      </w:r>
    </w:p>
    <w:p>
      <w:r>
        <w:t xml:space="preserve">• </w:t>
      </w:r>
      <w:r>
        <w:rPr>
          <w:b/>
        </w:rPr>
        <w:t>Formativ code review</w:t>
      </w:r>
      <w:r>
        <w:t xml:space="preserve"> — lärare och peer granskar kod under utveckling (se §3)</w:t>
      </w:r>
    </w:p>
    <w:p>
      <w:r>
        <w:t xml:space="preserve">• </w:t>
      </w:r>
      <w:r>
        <w:rPr>
          <w:b/>
        </w:rPr>
        <w:t>Mini-presentationer</w:t>
      </w:r>
      <w:r>
        <w:t xml:space="preserve"> — student visar sitt arbete för gruppen</w:t>
      </w:r>
    </w:p>
    <w:p>
      <w:pPr>
        <w:pStyle w:val="Heading2"/>
      </w:pPr>
      <w:r>
        <w:t>2.3 Förhållande till föreläsningar och projektarbete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</w:rPr>
              <w:t>Form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Vad det är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Närvaro</w:t>
            </w:r>
          </w:p>
        </w:tc>
      </w:tr>
      <w:tr>
        <w:tc>
          <w:tcPr>
            <w:tcW w:type="dxa" w:w="3010"/>
          </w:tcPr>
          <w:p>
            <w:r/>
            <w:r>
              <w:rPr>
                <w:b/>
              </w:rPr>
              <w:t>Föreläsning</w:t>
            </w:r>
          </w:p>
        </w:tc>
        <w:tc>
          <w:tcPr>
            <w:tcW w:type="dxa" w:w="3010"/>
          </w:tcPr>
          <w:p>
            <w:r/>
            <w:r>
              <w:t>Lärare presenterar, student lyssnar</w:t>
            </w:r>
          </w:p>
        </w:tc>
        <w:tc>
          <w:tcPr>
            <w:tcW w:type="dxa" w:w="3010"/>
          </w:tcPr>
          <w:p>
            <w:r/>
            <w:r>
              <w:t>Förväntad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b/>
              </w:rPr>
              <w:t>Workshop</w:t>
            </w:r>
          </w:p>
        </w:tc>
        <w:tc>
          <w:tcPr>
            <w:tcW w:type="dxa" w:w="3010"/>
          </w:tcPr>
          <w:p>
            <w:r/>
            <w:r>
              <w:t>Aktivt arbete med stöd</w:t>
            </w:r>
          </w:p>
        </w:tc>
        <w:tc>
          <w:tcPr>
            <w:tcW w:type="dxa" w:w="3010"/>
          </w:tcPr>
          <w:p>
            <w:r/>
            <w:r>
              <w:t>Förväntad (innehållet är del av kursen)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b/>
              </w:rPr>
              <w:t>Projektarbete</w:t>
            </w:r>
          </w:p>
        </w:tc>
        <w:tc>
          <w:tcPr>
            <w:tcW w:type="dxa" w:w="3010"/>
          </w:tcPr>
          <w:p>
            <w:r/>
            <w:r>
              <w:t>Studentdrivet team-arbete</w:t>
            </w:r>
          </w:p>
        </w:tc>
        <w:tc>
          <w:tcPr>
            <w:tcW w:type="dxa" w:w="3010"/>
          </w:tcPr>
          <w:p>
            <w:r/>
            <w:r>
              <w:t>Examineras enligt kursplan</w:t>
            </w:r>
          </w:p>
        </w:tc>
      </w:tr>
    </w:tbl>
    <w:p>
      <w:pPr>
        <w:pStyle w:val="Heading2"/>
      </w:pPr>
      <w:r>
        <w:t>2.4 Pedagogisk koppling</w:t>
      </w:r>
    </w:p>
    <w:p>
      <w:r>
        <w:t>Workshops är den primära arenan för:</w:t>
      </w:r>
    </w:p>
    <w:p>
      <w:r>
        <w:t xml:space="preserve">• </w:t>
      </w:r>
      <w:r>
        <w:rPr>
          <w:b/>
        </w:rPr>
        <w:t>Worked examples → completion problems → fading</w:t>
      </w:r>
      <w:r>
        <w:t xml:space="preserve"> (se UPPDRAG.md §5.1)</w:t>
      </w:r>
    </w:p>
    <w:p>
      <w:r>
        <w:t xml:space="preserve">• </w:t>
      </w:r>
      <w:r>
        <w:rPr>
          <w:b/>
        </w:rPr>
        <w:t>Formativ code review</w:t>
      </w:r>
      <w:r>
        <w:t xml:space="preserve"> (se §3)</w:t>
      </w:r>
    </w:p>
    <w:p>
      <w:r>
        <w:t xml:space="preserve">• </w:t>
      </w:r>
      <w:r>
        <w:rPr>
          <w:b/>
        </w:rPr>
        <w:t>Andra formativa mekanismer</w:t>
      </w:r>
      <w:r>
        <w:t xml:space="preserve"> (se §4)</w:t>
      </w:r>
    </w:p>
    <w:p>
      <w:r>
        <w:t xml:space="preserve">Utan workshops fungerar inte pedagogiken som programmet vilar på. Det är därför </w:t>
      </w:r>
      <w:r>
        <w:rPr>
          <w:i/>
        </w:rPr>
        <w:t>"innehållet är obligatoriskt"</w:t>
      </w:r>
      <w:r>
        <w:t xml:space="preserve"> — det går inte att klara kurserna utan att möta innehållet, och workshops är den primära platsen där det möts.</w:t>
      </w:r>
    </w:p>
    <w:p/>
    <w:p>
      <w:pPr>
        <w:pStyle w:val="Title"/>
      </w:pPr>
      <w:r>
        <w:t>3. Code review — operationell beskrivning</w:t>
      </w:r>
    </w:p>
    <w:p>
      <w:pPr>
        <w:pStyle w:val="Heading2"/>
      </w:pPr>
      <w:r>
        <w:t>3.1 Frekvens och eskalering över programmet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</w:rPr>
              <w:t>Kurs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Frekvens (minst)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Typ</w:t>
            </w:r>
          </w:p>
        </w:tc>
      </w:tr>
      <w:tr>
        <w:tc>
          <w:tcPr>
            <w:tcW w:type="dxa" w:w="3010"/>
          </w:tcPr>
          <w:p>
            <w:r/>
            <w:r>
              <w:t>Kurs 2 — Frontendutveckling</w:t>
            </w:r>
          </w:p>
        </w:tc>
        <w:tc>
          <w:tcPr>
            <w:tcW w:type="dxa" w:w="3010"/>
          </w:tcPr>
          <w:p>
            <w:r/>
            <w:r>
              <w:t>2 per större inlämning</w:t>
            </w:r>
          </w:p>
        </w:tc>
        <w:tc>
          <w:tcPr>
            <w:tcW w:type="dxa" w:w="3010"/>
          </w:tcPr>
          <w:p>
            <w:r/>
            <w:r>
              <w:t>Lärare → student (formativ)</w:t>
            </w:r>
          </w:p>
        </w:tc>
      </w:tr>
      <w:tr>
        <w:tc>
          <w:tcPr>
            <w:tcW w:type="dxa" w:w="3010"/>
          </w:tcPr>
          <w:p>
            <w:r/>
            <w:r>
              <w:t>Kurs 3 — Avancerad frontend + TS</w:t>
            </w:r>
          </w:p>
        </w:tc>
        <w:tc>
          <w:tcPr>
            <w:tcW w:type="dxa" w:w="3010"/>
          </w:tcPr>
          <w:p>
            <w:r/>
            <w:r>
              <w:t>3 per projekt + 1 per inlämningsuppgift</w:t>
            </w:r>
          </w:p>
        </w:tc>
        <w:tc>
          <w:tcPr>
            <w:tcW w:type="dxa" w:w="3010"/>
          </w:tcPr>
          <w:p>
            <w:r/>
            <w:r>
              <w:t>Lärare + peer + studenten lär sig granska (formativ + summativ vid slut)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b/>
              </w:rPr>
              <w:t>Kurs 4 och framåt</w:t>
            </w:r>
          </w:p>
        </w:tc>
        <w:tc>
          <w:tcPr>
            <w:tcW w:type="dxa" w:w="3010"/>
          </w:tcPr>
          <w:p>
            <w:r/>
            <w:r>
              <w:rPr>
                <w:b/>
              </w:rPr>
              <w:t>Som etablerad praxis</w:t>
            </w:r>
            <w:r>
              <w:t xml:space="preserve"> — frekvens bestäms av kursens innehåll</w:t>
            </w:r>
          </w:p>
        </w:tc>
        <w:tc>
          <w:tcPr>
            <w:tcW w:type="dxa" w:w="3010"/>
          </w:tcPr>
          <w:p>
            <w:r/>
            <w:r>
              <w:t>Peer-driven med lärare som mentor, yrkeslikt PR-flöde</w:t>
            </w:r>
          </w:p>
        </w:tc>
      </w:tr>
      <w:tr>
        <w:tc>
          <w:tcPr>
            <w:tcW w:type="dxa" w:w="3010"/>
          </w:tcPr>
          <w:p>
            <w:r/>
            <w:r>
              <w:t>LIA</w:t>
            </w:r>
          </w:p>
        </w:tc>
        <w:tc>
          <w:tcPr>
            <w:tcW w:type="dxa" w:w="3010"/>
          </w:tcPr>
          <w:p>
            <w:r/>
            <w:r>
              <w:t>Verkligheten</w:t>
            </w:r>
          </w:p>
        </w:tc>
        <w:tc>
          <w:tcPr>
            <w:tcW w:type="dxa" w:w="3010"/>
          </w:tcPr>
          <w:p>
            <w:r/>
            <w:r>
              <w:t>Real-world företagspraxis</w:t>
            </w:r>
          </w:p>
        </w:tc>
      </w:tr>
    </w:tbl>
    <w:p>
      <w:r>
        <w:rPr>
          <w:b/>
          <w:i/>
        </w:rPr>
        <w:t>Från och med kurs 4 är code review självklar formativ praxis</w:t>
      </w:r>
      <w:r>
        <w:rPr>
          <w:i/>
        </w:rPr>
        <w:t xml:space="preserve"> och behöver </w:t>
      </w:r>
      <w:r>
        <w:rPr>
          <w:i/>
        </w:rPr>
        <w:t>inte</w:t>
      </w:r>
      <w:r>
        <w:rPr>
          <w:i/>
        </w:rPr>
        <w:t xml:space="preserve"> återintroduceras i varje kursplan. Kursplaner från kurs 4 och framåt nämner code review </w:t>
      </w:r>
      <w:r>
        <w:rPr>
          <w:i/>
        </w:rPr>
        <w:t>endast</w:t>
      </w:r>
      <w:r>
        <w:rPr>
          <w:i/>
        </w:rPr>
        <w:t xml:space="preserve"> när det förekommer som summativt examinationsmoment (t.ex. </w:t>
      </w:r>
      <w:r>
        <w:rPr>
          <w:i/>
        </w:rPr>
        <w:t>bedömd kodgranskning</w:t>
      </w:r>
      <w:r>
        <w:rPr>
          <w:i/>
        </w:rPr>
        <w:t>). Annars är det implicit täckt av detta dokument och UPPDRAG.md §6.</w:t>
      </w:r>
    </w:p>
    <w:p>
      <w:pPr>
        <w:pStyle w:val="Heading2"/>
      </w:pPr>
      <w:r>
        <w:t>3.2 Stages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Timing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Fokus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Roll</w:t>
            </w:r>
          </w:p>
        </w:tc>
      </w:tr>
      <w:tr>
        <w:tc>
          <w:tcPr>
            <w:tcW w:type="dxa" w:w="2257"/>
          </w:tcPr>
          <w:p>
            <w:r/>
            <w:r>
              <w:rPr>
                <w:b/>
              </w:rPr>
              <w:t>Utkast-review</w:t>
            </w:r>
          </w:p>
        </w:tc>
        <w:tc>
          <w:tcPr>
            <w:tcW w:type="dxa" w:w="2257"/>
          </w:tcPr>
          <w:p>
            <w:r/>
            <w:r>
              <w:t>Tidigt i en uppgift</w:t>
            </w:r>
          </w:p>
        </w:tc>
        <w:tc>
          <w:tcPr>
            <w:tcW w:type="dxa" w:w="2257"/>
          </w:tcPr>
          <w:p>
            <w:r/>
            <w:r>
              <w:t>Struktur, namnval, läsbarhet — innan koden polerats</w:t>
            </w:r>
          </w:p>
        </w:tc>
        <w:tc>
          <w:tcPr>
            <w:tcW w:type="dxa" w:w="2257"/>
          </w:tcPr>
          <w:p>
            <w:r/>
            <w:r>
              <w:t>Formativ — bygg upp</w:t>
            </w:r>
          </w:p>
        </w:tc>
      </w:tr>
      <w:tr>
        <w:tc>
          <w:tcPr>
            <w:tcW w:type="dxa" w:w="2257"/>
          </w:tcPr>
          <w:p>
            <w:r/>
            <w:r>
              <w:rPr>
                <w:b/>
              </w:rPr>
              <w:t>Mid-stage check</w:t>
            </w:r>
          </w:p>
        </w:tc>
        <w:tc>
          <w:tcPr>
            <w:tcW w:type="dxa" w:w="2257"/>
          </w:tcPr>
          <w:p>
            <w:r/>
            <w:r>
              <w:t>Halvvägs</w:t>
            </w:r>
          </w:p>
        </w:tc>
        <w:tc>
          <w:tcPr>
            <w:tcW w:type="dxa" w:w="2257"/>
          </w:tcPr>
          <w:p>
            <w:r/>
            <w:r>
              <w:t>Progress, blockerare, arkitektur­val</w:t>
            </w:r>
          </w:p>
        </w:tc>
        <w:tc>
          <w:tcPr>
            <w:tcW w:type="dxa" w:w="2257"/>
          </w:tcPr>
          <w:p>
            <w:r/>
            <w:r>
              <w:t>Formativ — kursjustera</w:t>
            </w:r>
          </w:p>
        </w:tc>
      </w:tr>
      <w:tr>
        <w:tc>
          <w:tcPr>
            <w:tcW w:type="dxa" w:w="2257"/>
          </w:tcPr>
          <w:p>
            <w:r/>
            <w:r>
              <w:rPr>
                <w:b/>
              </w:rPr>
              <w:t>Slutfeedback</w:t>
            </w:r>
          </w:p>
        </w:tc>
        <w:tc>
          <w:tcPr>
            <w:tcW w:type="dxa" w:w="2257"/>
          </w:tcPr>
          <w:p>
            <w:r/>
            <w:r>
              <w:t>Före inlämning</w:t>
            </w:r>
          </w:p>
        </w:tc>
        <w:tc>
          <w:tcPr>
            <w:tcW w:type="dxa" w:w="2257"/>
          </w:tcPr>
          <w:p>
            <w:r/>
            <w:r>
              <w:t>Polish, edge cases, dokumentation</w:t>
            </w:r>
          </w:p>
        </w:tc>
        <w:tc>
          <w:tcPr>
            <w:tcW w:type="dxa" w:w="2257"/>
          </w:tcPr>
          <w:p>
            <w:r/>
            <w:r>
              <w:t>Formativ — finputs</w:t>
            </w:r>
          </w:p>
        </w:tc>
      </w:tr>
      <w:tr>
        <w:tc>
          <w:tcPr>
            <w:tcW w:type="dxa" w:w="2257"/>
          </w:tcPr>
          <w:p>
            <w:r/>
            <w:r>
              <w:rPr>
                <w:b/>
              </w:rPr>
              <w:t>Bedömd kodgranskning</w:t>
            </w:r>
          </w:p>
        </w:tc>
        <w:tc>
          <w:tcPr>
            <w:tcW w:type="dxa" w:w="2257"/>
          </w:tcPr>
          <w:p>
            <w:r/>
            <w:r>
              <w:t>Vid slutleverans (kurs 3+)</w:t>
            </w:r>
          </w:p>
        </w:tc>
        <w:tc>
          <w:tcPr>
            <w:tcW w:type="dxa" w:w="2257"/>
          </w:tcPr>
          <w:p>
            <w:r/>
            <w:r>
              <w:t>Vilka val gjordes och varför, samt kvalitet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Summativ — bidrar till betyg</w:t>
            </w:r>
          </w:p>
        </w:tc>
      </w:tr>
    </w:tbl>
    <w:p>
      <w:pPr>
        <w:pStyle w:val="Heading2"/>
      </w:pPr>
      <w:r>
        <w:t>3.3 Format</w:t>
      </w:r>
    </w:p>
    <w:p>
      <w:r>
        <w:t xml:space="preserve">• </w:t>
      </w:r>
      <w:r>
        <w:rPr>
          <w:b/>
        </w:rPr>
        <w:t>Skriftlig</w:t>
      </w:r>
      <w:r>
        <w:t xml:space="preserve"> (Canvas annotations eller GitHub PR-kommentarer)</w:t>
      </w:r>
    </w:p>
    <w:p>
      <w:r>
        <w:t xml:space="preserve">• </w:t>
      </w:r>
      <w:r>
        <w:rPr>
          <w:b/>
        </w:rPr>
        <w:t>Inline-kommentarer</w:t>
      </w:r>
      <w:r>
        <w:t xml:space="preserve"> + en kort sammanfattande feedback per session</w:t>
      </w:r>
    </w:p>
    <w:p>
      <w:r>
        <w:t xml:space="preserve">• </w:t>
      </w:r>
      <w:r>
        <w:t>5–10 substantiella punkter per review är riktnivå — räcker för att vara meningsfullt, inte så mycket att studenten överväldigas</w:t>
      </w:r>
    </w:p>
    <w:p>
      <w:pPr>
        <w:pStyle w:val="Heading2"/>
      </w:pPr>
      <w:r>
        <w:t>3.4 Rubrik — vad reviewer tittar på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</w:rPr>
              <w:t>Område</w:t>
            </w:r>
          </w:p>
        </w:tc>
        <w:tc>
          <w:tcPr>
            <w:tcW w:type="dxa" w:w="4514"/>
          </w:tcPr>
          <w:p>
            <w:r/>
            <w:r>
              <w:rPr>
                <w:b/>
              </w:rPr>
              <w:t>Vad bedöms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Correctness</w:t>
            </w:r>
          </w:p>
        </w:tc>
        <w:tc>
          <w:tcPr>
            <w:tcW w:type="dxa" w:w="4514"/>
          </w:tcPr>
          <w:p>
            <w:r/>
            <w:r>
              <w:t>Gör koden vad den ska? Hanteras kantfall?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Readability</w:t>
            </w:r>
          </w:p>
        </w:tc>
        <w:tc>
          <w:tcPr>
            <w:tcW w:type="dxa" w:w="4514"/>
          </w:tcPr>
          <w:p>
            <w:r/>
            <w:r>
              <w:t>Kan jag förstå koden om 6 månader? Namnval, struktur, kommentarer där relevant.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Structure</w:t>
            </w:r>
          </w:p>
        </w:tc>
        <w:tc>
          <w:tcPr>
            <w:tcW w:type="dxa" w:w="4514"/>
          </w:tcPr>
          <w:p>
            <w:r/>
            <w:r>
              <w:t>Modul-uppdelning, separation of concerns, loose coupling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Idioms</w:t>
            </w:r>
          </w:p>
        </w:tc>
        <w:tc>
          <w:tcPr>
            <w:tcW w:type="dxa" w:w="4514"/>
          </w:tcPr>
          <w:p>
            <w:r/>
            <w:r>
              <w:t>Skrivs koden idiomatiskt i språket/ramverket?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Tests</w:t>
            </w:r>
            <w:r>
              <w:t xml:space="preserve"> </w:t>
            </w:r>
            <w:r>
              <w:rPr>
                <w:i/>
              </w:rPr>
              <w:t>(där tillämpligt)</w:t>
            </w:r>
          </w:p>
        </w:tc>
        <w:tc>
          <w:tcPr>
            <w:tcW w:type="dxa" w:w="4514"/>
          </w:tcPr>
          <w:p>
            <w:r/>
            <w:r>
              <w:t>Finns tester? Täcker de relevant beteende?</w:t>
            </w:r>
          </w:p>
        </w:tc>
      </w:tr>
      <w:tr>
        <w:tc>
          <w:tcPr>
            <w:tcW w:type="dxa" w:w="4514"/>
          </w:tcPr>
          <w:p>
            <w:r/>
            <w:r>
              <w:rPr>
                <w:b/>
              </w:rPr>
              <w:t>Security</w:t>
            </w:r>
            <w:r>
              <w:t xml:space="preserve"> </w:t>
            </w:r>
            <w:r>
              <w:rPr>
                <w:i/>
              </w:rPr>
              <w:t>(där tillämpligt)</w:t>
            </w:r>
          </w:p>
        </w:tc>
        <w:tc>
          <w:tcPr>
            <w:tcW w:type="dxa" w:w="4514"/>
          </w:tcPr>
          <w:p>
            <w:r/>
            <w:r>
              <w:t>T.ex. inga secrets i klient-kod, säker hantering av användardata</w:t>
            </w:r>
          </w:p>
        </w:tc>
      </w:tr>
    </w:tbl>
    <w:p>
      <w:pPr>
        <w:pStyle w:val="Heading2"/>
      </w:pPr>
      <w:r>
        <w:t>3.5 Stöttning vs check — två olika syften</w:t>
      </w:r>
    </w:p>
    <w:p>
      <w:r>
        <w:t xml:space="preserve">• </w:t>
      </w:r>
      <w:r>
        <w:rPr>
          <w:b/>
        </w:rPr>
        <w:t>Stöttning</w:t>
      </w:r>
      <w:r>
        <w:t xml:space="preserve"> = lärare eller peer hjälper studenten förstå </w:t>
      </w:r>
      <w:r>
        <w:rPr>
          <w:i/>
        </w:rPr>
        <w:t>varför</w:t>
      </w:r>
      <w:r>
        <w:t xml:space="preserve"> något kan förbättras. Didaktisk ton, förklaringar, alternativ. Vanligast i utkast-review.</w:t>
      </w:r>
    </w:p>
    <w:p>
      <w:r>
        <w:t xml:space="preserve">• </w:t>
      </w:r>
      <w:r>
        <w:rPr>
          <w:b/>
        </w:rPr>
        <w:t>Check</w:t>
      </w:r>
      <w:r>
        <w:t xml:space="preserve"> = lärare verifierar status. </w:t>
      </w:r>
      <w:r>
        <w:rPr>
          <w:i/>
        </w:rPr>
        <w:t>"Du är på rätt spår, fortsätt."</w:t>
      </w:r>
      <w:r>
        <w:t xml:space="preserve"> Eller: </w:t>
      </w:r>
      <w:r>
        <w:rPr>
          <w:i/>
        </w:rPr>
        <w:t>"Här behöver vi prata innan du går vidare."</w:t>
      </w:r>
      <w:r>
        <w:t xml:space="preserve"> Vanligast i mid-stage.</w:t>
      </w:r>
    </w:p>
    <w:p>
      <w:r>
        <w:t>Båda är formativa. Stöttning bygger förståelse, check styr riktning.</w:t>
      </w:r>
    </w:p>
    <w:p>
      <w:pPr>
        <w:pStyle w:val="Heading2"/>
      </w:pPr>
      <w:r>
        <w:t>3.6 Vem reviewar (per kurs)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Kurs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Lärare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Peer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Studenten lär sig granska</w:t>
            </w:r>
          </w:p>
        </w:tc>
      </w:tr>
      <w:tr>
        <w:tc>
          <w:tcPr>
            <w:tcW w:type="dxa" w:w="2257"/>
          </w:tcPr>
          <w:p>
            <w:r/>
            <w:r>
              <w:t>Kurs 2</w:t>
            </w:r>
          </w:p>
        </w:tc>
        <w:tc>
          <w:tcPr>
            <w:tcW w:type="dxa" w:w="2257"/>
          </w:tcPr>
          <w:p>
            <w:r/>
            <w:r>
              <w:t>✅ Primärt</w:t>
            </w:r>
          </w:p>
        </w:tc>
        <w:tc>
          <w:tcPr>
            <w:tcW w:type="dxa" w:w="2257"/>
          </w:tcPr>
          <w:p>
            <w:r/>
            <w:r>
              <w:t>—</w:t>
            </w:r>
          </w:p>
        </w:tc>
        <w:tc>
          <w:tcPr>
            <w:tcW w:type="dxa" w:w="2257"/>
          </w:tcPr>
          <w:p>
            <w:r/>
            <w:r>
              <w:t>—</w:t>
            </w:r>
          </w:p>
        </w:tc>
      </w:tr>
      <w:tr>
        <w:tc>
          <w:tcPr>
            <w:tcW w:type="dxa" w:w="2257"/>
          </w:tcPr>
          <w:p>
            <w:r/>
            <w:r>
              <w:t>Kurs 3</w:t>
            </w:r>
          </w:p>
        </w:tc>
        <w:tc>
          <w:tcPr>
            <w:tcW w:type="dxa" w:w="2257"/>
          </w:tcPr>
          <w:p>
            <w:r/>
            <w:r>
              <w:t>✅ Vid utkast + slutbedömning</w:t>
            </w:r>
          </w:p>
        </w:tc>
        <w:tc>
          <w:tcPr>
            <w:tcW w:type="dxa" w:w="2257"/>
          </w:tcPr>
          <w:p>
            <w:r/>
            <w:r>
              <w:t>✅ Under projekt</w:t>
            </w:r>
          </w:p>
        </w:tc>
        <w:tc>
          <w:tcPr>
            <w:tcW w:type="dxa" w:w="2257"/>
          </w:tcPr>
          <w:p>
            <w:r/>
            <w:r>
              <w:t>✅ Som kompetens (kursmål 9)</w:t>
            </w:r>
          </w:p>
        </w:tc>
      </w:tr>
      <w:tr>
        <w:tc>
          <w:tcPr>
            <w:tcW w:type="dxa" w:w="2257"/>
          </w:tcPr>
          <w:p>
            <w:r/>
            <w:r>
              <w:t>Kurs 4+</w:t>
            </w:r>
          </w:p>
        </w:tc>
        <w:tc>
          <w:tcPr>
            <w:tcW w:type="dxa" w:w="2257"/>
          </w:tcPr>
          <w:p>
            <w:r/>
            <w:r>
              <w:t>Som mentor</w:t>
            </w:r>
          </w:p>
        </w:tc>
        <w:tc>
          <w:tcPr>
            <w:tcW w:type="dxa" w:w="2257"/>
          </w:tcPr>
          <w:p>
            <w:r/>
            <w:r>
              <w:t>✅ Primärt</w:t>
            </w:r>
          </w:p>
        </w:tc>
        <w:tc>
          <w:tcPr>
            <w:tcW w:type="dxa" w:w="2257"/>
          </w:tcPr>
          <w:p>
            <w:r/>
            <w:r>
              <w:t>✅</w:t>
            </w:r>
          </w:p>
        </w:tc>
      </w:tr>
    </w:tbl>
    <w:p/>
    <w:p>
      <w:pPr>
        <w:pStyle w:val="Title"/>
      </w:pPr>
      <w:r>
        <w:t>4. Andra formativa mekanismer</w:t>
      </w:r>
    </w:p>
    <w:p>
      <w:pPr>
        <w:pStyle w:val="Heading2"/>
      </w:pPr>
      <w:r>
        <w:t>4.1 Utkastfeedback (text-baserad)</w:t>
      </w:r>
    </w:p>
    <w:p>
      <w:r>
        <w:t>Skriftliga inlämningar (rapporter, projektdokumentation) granskas i utkastform innan slutbedömning. Studenten kan iterera baserat på återkoppling.</w:t>
      </w:r>
    </w:p>
    <w:p>
      <w:pPr>
        <w:pStyle w:val="Heading2"/>
      </w:pPr>
      <w:r>
        <w:t>4.2 Completion problems</w:t>
      </w:r>
    </w:p>
    <w:p>
      <w:r>
        <w:t xml:space="preserve">Inbäddade i undervisningen (se UPPDRAG.md §5.1). Studenten gör en delvis ifylld kodövning och får direkt återkoppling — fungerar som </w:t>
      </w:r>
      <w:r>
        <w:rPr>
          <w:i/>
        </w:rPr>
        <w:t>mikro-formativ bedömning</w:t>
      </w:r>
      <w:r>
        <w:t xml:space="preserve"> i nuet.</w:t>
      </w:r>
    </w:p>
    <w:p>
      <w:pPr>
        <w:pStyle w:val="Heading2"/>
      </w:pPr>
      <w:r>
        <w:t>4.3 Reflexionsmoment</w:t>
      </w:r>
    </w:p>
    <w:p>
      <w:r>
        <w:t>Studenten redogör för egna val i kursarbete. Vanligast kopplat till kompetensmål om självledning. T.ex. den individuella inlämningsuppgiften i kurs 3 (mot kompetensmål 8) är en reflexionsuppgift med summativ kant.</w:t>
      </w:r>
    </w:p>
    <w:p>
      <w:pPr>
        <w:pStyle w:val="Heading2"/>
      </w:pPr>
      <w:r>
        <w:t>4.4 Lättviktiga checkar och quizar</w:t>
      </w:r>
    </w:p>
    <w:p>
      <w:r>
        <w:t xml:space="preserve">Korta, icke-graderade förståelse­quizar i undervisningen för att se var en kohort står. </w:t>
      </w:r>
      <w:r>
        <w:rPr>
          <w:b/>
        </w:rPr>
        <w:t>Resultat används aldrig för bedömning av enskild student</w:t>
      </w:r>
      <w:r>
        <w:t xml:space="preserve"> — endast för lärarens pulskoll.</w:t>
      </w:r>
    </w:p>
    <w:p/>
    <w:p>
      <w:pPr>
        <w:pStyle w:val="Title"/>
      </w:pPr>
      <w:r>
        <w:t>5. Gränser mot summativ bedömning</w:t>
      </w:r>
    </w:p>
    <w:p>
      <w:pPr>
        <w:pStyle w:val="Heading2"/>
      </w:pPr>
      <w:r>
        <w:t>Vad som ÄR OK</w:t>
      </w:r>
    </w:p>
    <w:p>
      <w:r>
        <w:t xml:space="preserve">• </w:t>
      </w:r>
      <w:r>
        <w:t xml:space="preserve">Formativ feedback är </w:t>
      </w:r>
      <w:r>
        <w:rPr>
          <w:b/>
        </w:rPr>
        <w:t>fri zon</w:t>
      </w:r>
      <w:r>
        <w:t xml:space="preserve"> — varken graderad eller betygsatt</w:t>
      </w:r>
    </w:p>
    <w:p>
      <w:r>
        <w:t xml:space="preserve">• </w:t>
      </w:r>
      <w:r>
        <w:t xml:space="preserve">Lärare kan dokumentera att studenten </w:t>
      </w:r>
      <w:r>
        <w:rPr>
          <w:i/>
        </w:rPr>
        <w:t>har svarat</w:t>
      </w:r>
      <w:r>
        <w:t xml:space="preserve"> på formativ feedback (utveckling över tid). Detta kan beaktas vid slutbedömning av relaterat kursmål.</w:t>
      </w:r>
    </w:p>
    <w:p>
      <w:r>
        <w:t xml:space="preserve">• </w:t>
      </w:r>
      <w:r>
        <w:t xml:space="preserve">Code review </w:t>
      </w:r>
      <w:r>
        <w:rPr>
          <w:b/>
        </w:rPr>
        <w:t>kan bli summativ</w:t>
      </w:r>
      <w:r>
        <w:t xml:space="preserve"> när den körs vid slutleverans (kurs 3+). Då dokumenteras det som examinationsform i kursplanen — t.ex. </w:t>
      </w:r>
      <w:r>
        <w:rPr>
          <w:i/>
        </w:rPr>
        <w:t>"Bedömd kodgranskning av kursmål 9 (vid slutleverans)"</w:t>
      </w:r>
      <w:r>
        <w:t>.</w:t>
      </w:r>
    </w:p>
    <w:p>
      <w:r>
        <w:t xml:space="preserve">• </w:t>
      </w:r>
      <w:r>
        <w:t>Samma kursmål kan examineras i flera moment — formativt under resan, summativt vid slutet.</w:t>
      </w:r>
    </w:p>
    <w:p>
      <w:pPr>
        <w:pStyle w:val="Heading2"/>
      </w:pPr>
      <w:r>
        <w:t>Vad som INTE är OK</w:t>
      </w:r>
    </w:p>
    <w:p>
      <w:r>
        <w:t xml:space="preserve">• </w:t>
      </w:r>
      <w:r>
        <w:t xml:space="preserve">Formativ feedback får aldrig </w:t>
      </w:r>
      <w:r>
        <w:rPr>
          <w:b/>
        </w:rPr>
        <w:t>smyga in betyg</w:t>
      </w:r>
      <w:r>
        <w:t xml:space="preserve">. Om utkastfeedback börjar säga </w:t>
      </w:r>
      <w:r>
        <w:rPr>
          <w:i/>
        </w:rPr>
        <w:t>"detta är VG-värdig kod"</w:t>
      </w:r>
      <w:r>
        <w:t xml:space="preserve"> är vi de facto i summativ-zon. Det undergräver tilliten.</w:t>
      </w:r>
    </w:p>
    <w:p>
      <w:r>
        <w:t xml:space="preserve">• </w:t>
      </w:r>
      <w:r>
        <w:t xml:space="preserve">En icke-graderad quiz får aldrig </w:t>
      </w:r>
      <w:r>
        <w:rPr>
          <w:b/>
        </w:rPr>
        <w:t>påverka enskild students bedömning</w:t>
      </w:r>
      <w:r>
        <w:t>.</w:t>
      </w:r>
    </w:p>
    <w:p>
      <w:r>
        <w:t xml:space="preserve">• </w:t>
      </w:r>
      <w:r>
        <w:t xml:space="preserve">Code review-anteckningar får aldrig användas </w:t>
      </w:r>
      <w:r>
        <w:rPr>
          <w:b/>
        </w:rPr>
        <w:t>mot</w:t>
      </w:r>
      <w:r>
        <w:t xml:space="preserve"> studenten — bara </w:t>
      </w:r>
      <w:r>
        <w:rPr>
          <w:i/>
        </w:rPr>
        <w:t>för</w:t>
      </w:r>
      <w:r>
        <w:t xml:space="preserve"> hens utveckling. Om studenten själv ber om att tidigare feedback ska räknas in i slutbedömning är det dock OK.</w:t>
      </w:r>
    </w:p>
    <w:p/>
    <w:p>
      <w:pPr>
        <w:pStyle w:val="Title"/>
      </w:pPr>
      <w:r>
        <w:t>6. Dokumentationspraxis</w:t>
      </w:r>
    </w:p>
    <w:p>
      <w:pPr>
        <w:pStyle w:val="Heading2"/>
      </w:pPr>
      <w:r>
        <w:t>6.1 Var feedback bor</w:t>
      </w:r>
    </w:p>
    <w:p>
      <w:r>
        <w:t xml:space="preserve">• </w:t>
      </w:r>
      <w:r>
        <w:rPr>
          <w:b/>
        </w:rPr>
        <w:t>Canvas annotations</w:t>
      </w:r>
      <w:r>
        <w:t xml:space="preserve"> för inlämningar</w:t>
      </w:r>
    </w:p>
    <w:p>
      <w:r>
        <w:t xml:space="preserve">• </w:t>
      </w:r>
      <w:r>
        <w:rPr>
          <w:b/>
        </w:rPr>
        <w:t>GitHub PR-kommentarer</w:t>
      </w:r>
      <w:r>
        <w:t xml:space="preserve"> för projektkod</w:t>
      </w:r>
    </w:p>
    <w:p>
      <w:r>
        <w:t xml:space="preserve">• </w:t>
      </w:r>
      <w:r>
        <w:t>Inte spridda i e-post, chatt eller muntligt utan spår — annars går återkopplingen förlorad</w:t>
      </w:r>
    </w:p>
    <w:p>
      <w:pPr>
        <w:pStyle w:val="Heading2"/>
      </w:pPr>
      <w:r>
        <w:t>6.2 Lärarens egen spårning</w:t>
      </w:r>
    </w:p>
    <w:p>
      <w:r>
        <w:t xml:space="preserve">Lärare för </w:t>
      </w:r>
      <w:r>
        <w:rPr>
          <w:b/>
        </w:rPr>
        <w:t>interna anteckningar</w:t>
      </w:r>
      <w:r>
        <w:t xml:space="preserve"> om varje students utveckling under kursens gång. Detta är lärarverktyg, inte studentens dokument. Syftet: ge meningsfull slutbedömning baserad på utveckling och slutprodukt, inte bara slutprodukt.</w:t>
      </w:r>
    </w:p>
    <w:p>
      <w:pPr>
        <w:pStyle w:val="Heading2"/>
      </w:pPr>
      <w:r>
        <w:t>6.3 Vad som BÖR antecknas</w:t>
      </w:r>
    </w:p>
    <w:p>
      <w:r>
        <w:t xml:space="preserve">• </w:t>
      </w:r>
      <w:r>
        <w:t>Återkommande mönster (samma fel på tre olika uppgifter)</w:t>
      </w:r>
    </w:p>
    <w:p>
      <w:r>
        <w:t xml:space="preserve">• </w:t>
      </w:r>
      <w:r>
        <w:t>Genombrott (student som löst ett tidigare blockerande problem)</w:t>
      </w:r>
    </w:p>
    <w:p>
      <w:r>
        <w:t xml:space="preserve">• </w:t>
      </w:r>
      <w:r>
        <w:t>Övergripande utvecklingstendens</w:t>
      </w:r>
    </w:p>
    <w:p>
      <w:pPr>
        <w:pStyle w:val="Heading2"/>
      </w:pPr>
      <w:r>
        <w:t>6.4 Vad som INTE bör antecknas</w:t>
      </w:r>
    </w:p>
    <w:p>
      <w:r>
        <w:t xml:space="preserve">• </w:t>
      </w:r>
      <w:r>
        <w:t>Värdeomdömen om personen ("ovillig att lyssna", "lat") — irrelevanta för pedagogik</w:t>
      </w:r>
    </w:p>
    <w:p>
      <w:r>
        <w:t xml:space="preserve">• </w:t>
      </w:r>
      <w:r>
        <w:t>Privatpersonliga omständigheter — saknar didaktisk relevans</w:t>
      </w:r>
    </w:p>
    <w:p>
      <w:r>
        <w:t xml:space="preserve">• </w:t>
      </w:r>
      <w:r>
        <w:t>Spekulationer om framtida prestanda — orättvist mot studenten</w:t>
      </w:r>
    </w:p>
    <w:p/>
    <w:p>
      <w:pPr>
        <w:pStyle w:val="Title"/>
      </w:pPr>
      <w:r>
        <w:t>7. Bedömd kodgranskning — när formativ blir summativ</w:t>
      </w:r>
    </w:p>
    <w:p>
      <w:r>
        <w:t xml:space="preserve">I kurs 3 och framåt finns </w:t>
      </w:r>
      <w:r>
        <w:rPr>
          <w:i/>
        </w:rPr>
        <w:t>bedömd kodgranskning</w:t>
      </w:r>
      <w:r>
        <w:t xml:space="preserve"> som </w:t>
      </w:r>
      <w:r>
        <w:rPr>
          <w:b/>
        </w:rPr>
        <w:t>summativ examinationsform vid slutleverans</w:t>
      </w:r>
      <w:r>
        <w:t>. Den följer denna struktur:</w:t>
      </w:r>
    </w:p>
    <w:p>
      <w:r>
        <w:t xml:space="preserve">1. </w:t>
      </w:r>
      <w:r>
        <w:rPr>
          <w:b/>
        </w:rPr>
        <w:t>Studenten lämnar in slutgiltig kod</w:t>
      </w:r>
      <w:r>
        <w:t xml:space="preserve"> för projekt/uppgift</w:t>
      </w:r>
    </w:p>
    <w:p>
      <w:r>
        <w:t xml:space="preserve">2. </w:t>
      </w:r>
      <w:r>
        <w:rPr>
          <w:b/>
        </w:rPr>
        <w:t>Lärare genomför kodgranskning enligt rubriken i §3.4</w:t>
      </w:r>
    </w:p>
    <w:p>
      <w:r>
        <w:t xml:space="preserve">3. </w:t>
      </w:r>
      <w:r>
        <w:rPr>
          <w:b/>
        </w:rPr>
        <w:t>Granskningen dokumenteras</w:t>
      </w:r>
      <w:r>
        <w:t xml:space="preserve"> i Canvas eller GitHub PR med inline-kommentarer och sammanfattande omdöme</w:t>
      </w:r>
    </w:p>
    <w:p>
      <w:r>
        <w:t xml:space="preserve">4. </w:t>
      </w:r>
      <w:r>
        <w:rPr>
          <w:b/>
        </w:rPr>
        <w:t>Bedömning ges</w:t>
      </w:r>
      <w:r>
        <w:t xml:space="preserve"> mot relevanta kursmål — typiskt kursmål om kvalitetssäkring, felsökning eller projektarkitektur</w:t>
      </w:r>
    </w:p>
    <w:p>
      <w:r>
        <w:t xml:space="preserve">5. </w:t>
      </w:r>
      <w:r>
        <w:rPr>
          <w:b/>
        </w:rPr>
        <w:t>Studenten har rätt till omexamination</w:t>
      </w:r>
      <w:r>
        <w:t xml:space="preserve"> enligt vanlig YH-praxis</w:t>
      </w:r>
    </w:p>
    <w:p>
      <w:r>
        <w:t xml:space="preserve">Skillnaden mot formativ code review är att slutbedömningen </w:t>
      </w:r>
      <w:r>
        <w:rPr>
          <w:i/>
        </w:rPr>
        <w:t>räknas</w:t>
      </w:r>
      <w:r>
        <w:t xml:space="preserve"> — den bidrar till slutbetyg. Studenten har inte längre möjlighet att iterera baserat på denna feedback (utöver vid omexamination).</w:t>
      </w:r>
    </w:p>
    <w:p/>
    <w:p>
      <w:pPr>
        <w:pStyle w:val="Title"/>
      </w:pPr>
      <w:r>
        <w:t>8. Sammanfattning för lärare</w:t>
      </w:r>
    </w:p>
    <w:p>
      <w:r>
        <w:t xml:space="preserve">• </w:t>
      </w:r>
      <w:r>
        <w:rPr>
          <w:b/>
        </w:rPr>
        <w:t>Workshops är arbetsformen.</w:t>
      </w:r>
      <w:r>
        <w:t xml:space="preserve"> Innehållet är del av kursen — närvaro förväntas.</w:t>
      </w:r>
    </w:p>
    <w:p>
      <w:r>
        <w:t xml:space="preserve">• </w:t>
      </w:r>
      <w:r>
        <w:rPr>
          <w:b/>
        </w:rPr>
        <w:t>Code review är inte valbart.</w:t>
      </w:r>
      <w:r>
        <w:t xml:space="preserve"> Det är program-praxis från kurs 2.</w:t>
      </w:r>
    </w:p>
    <w:p>
      <w:r>
        <w:t xml:space="preserve">• </w:t>
      </w:r>
      <w:r>
        <w:t>*</w:t>
      </w:r>
      <w:r>
        <w:rPr>
          <w:i/>
        </w:rPr>
        <w:t xml:space="preserve">Code review är </w:t>
      </w:r>
      <w:r>
        <w:t>både</w:t>
      </w:r>
      <w:r>
        <w:rPr>
          <w:i/>
        </w:rPr>
        <w:t xml:space="preserve"> metod och färdighet.</w:t>
      </w:r>
      <w:r>
        <w:rPr>
          <w:i/>
        </w:rPr>
        <w:t xml:space="preserve"> Studenten både </w:t>
      </w:r>
      <w:r>
        <w:t>får</w:t>
      </w:r>
      <w:r>
        <w:rPr>
          <w:i/>
        </w:rPr>
        <w:t xml:space="preserve"> och </w:t>
      </w:r>
      <w:r>
        <w:t>lär sig att ge*.</w:t>
      </w:r>
    </w:p>
    <w:p>
      <w:r>
        <w:t xml:space="preserve">• </w:t>
      </w:r>
      <w:r>
        <w:rPr>
          <w:b/>
        </w:rPr>
        <w:t>Formativ är fri zon.</w:t>
      </w:r>
      <w:r>
        <w:t xml:space="preserve"> Kommentera ärligt utan att gradera.</w:t>
      </w:r>
    </w:p>
    <w:p>
      <w:r>
        <w:t xml:space="preserve">• </w:t>
      </w:r>
      <w:r>
        <w:rPr>
          <w:b/>
        </w:rPr>
        <w:t>Summativ code review (kurs 3+) finns dokumenterat i kursplanen.</w:t>
      </w:r>
      <w:r>
        <w:t xml:space="preserve"> Det är det enda code review-momentet som påverkar betyg.</w:t>
      </w:r>
    </w:p>
    <w:p>
      <w:r>
        <w:t xml:space="preserve">• </w:t>
      </w:r>
      <w:r>
        <w:rPr>
          <w:b/>
        </w:rPr>
        <w:t>Spåra utveckling.</w:t>
      </w:r>
      <w:r>
        <w:t xml:space="preserve"> Anteckna mönster och genombrott — inte personlighetsdrag.</w:t>
      </w:r>
    </w:p>
    <w:p>
      <w:r>
        <w:t xml:space="preserve">• </w:t>
      </w:r>
      <w:r>
        <w:rPr>
          <w:b/>
        </w:rPr>
        <w:t>Använd rubriken.</w:t>
      </w:r>
      <w:r>
        <w:t xml:space="preserve"> Correctness, readability, structure, idioms, tests, security — i den ordningen.</w:t>
      </w:r>
    </w:p>
    <w:sectPr>
      <w:headerReference r:id="rId10" w:type="default"/>
      <w:footerReference r:id="rId11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fia Sans Condensed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fia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fia Sans Extra Condense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Sofia Sans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ind w:right="-749.5275590551165" w:hanging="708.6614173228347"/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5429250</wp:posOffset>
          </wp:positionH>
          <wp:positionV relativeFrom="paragraph">
            <wp:posOffset>323850</wp:posOffset>
          </wp:positionV>
          <wp:extent cx="657225" cy="6572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>
        <w:rFonts w:ascii="Sofia Sans Extra Condensed" w:cs="Sofia Sans Extra Condensed" w:eastAsia="Sofia Sans Extra Condensed" w:hAnsi="Sofia Sans Extra Condensed"/>
        <w:b w:val="1"/>
        <w:bCs w:val="1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b w:val="1"/>
        <w:bCs w:val="1"/>
        <w:color w:val="2b2f2f"/>
        <w:rtl w:val="0"/>
      </w:rPr>
      <w:t xml:space="preserve">CHAS ACADEMY AB</w:t>
    </w:r>
  </w:p>
  <w:p w:rsidR="00000000" w:rsidDel="00000000" w:rsidP="00000000" w:rsidRDefault="00000000" w:rsidRPr="00000000" w14:paraId="00000041">
    <w:pPr>
      <w:rPr>
        <w:rFonts w:ascii="Sofia Sans Extra Condensed" w:cs="Sofia Sans Extra Condensed" w:eastAsia="Sofia Sans Extra Condensed" w:hAnsi="Sofia Sans Extra Condensed"/>
        <w:color w:val="2b2f2f"/>
      </w:rPr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Arenavägen 61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rPr>
        <w:rFonts w:ascii="Sofia Sans Extra Condensed" w:cs="Sofia Sans Extra Condensed" w:eastAsia="Sofia Sans Extra Condensed" w:hAnsi="Sofia Sans Extra Condensed"/>
        <w:color w:val="2b2f2f"/>
        <w:rtl w:val="0"/>
      </w:rPr>
      <w:t xml:space="preserve">121 77 Johanneshov, Sweden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Style w:val="Title"/>
      <w:tabs>
        <w:tab w:val="left" w:leader="none" w:pos="6803.149606299212"/>
      </w:tabs>
      <w:rPr>
        <w:sz w:val="40"/>
        <w:szCs w:val="40"/>
      </w:rPr>
    </w:pPr>
    <w:bookmarkStart w:colFirst="0" w:colLast="0" w:name="_mx9vfuszmse7" w:id="9"/>
    <w:bookmarkEnd w:id="9"/>
    <w:r w:rsidDel="00000000" w:rsidR="00000000" w:rsidRPr="00000000">
      <w:rPr>
        <w:color w:val="d4d4d4"/>
        <w:sz w:val="68"/>
        <w:szCs w:val="68"/>
        <w:rtl w:val="0"/>
      </w:rPr>
      <w:t xml:space="preserve">KURSPLAN</w:t>
    </w:r>
    <w:r w:rsidDel="00000000" w:rsidR="00000000" w:rsidRPr="00000000">
      <w:rPr>
        <w:color w:val="d4d4d4"/>
        <w:rtl w:val="0"/>
      </w:rPr>
      <w:tab/>
    </w:r>
    <w:r w:rsidDel="00000000" w:rsidR="00000000" w:rsidRPr="00000000">
      <w:rPr>
        <w:color w:val="d4d4d4"/>
        <w:sz w:val="40"/>
        <w:szCs w:val="40"/>
        <w:rtl w:val="0"/>
      </w:rPr>
      <w:t xml:space="preserve">CHAS ACADEMY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75" w:hanging="360"/>
      </w:pPr>
      <w:rPr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283.4645669291339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708.6614173228347" w:hanging="360.00000000000006"/>
      </w:pPr>
      <w:rPr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fia Sans" w:cs="Sofia Sans" w:eastAsia="Sofia Sans" w:hAnsi="Sofia Sans"/>
        <w:sz w:val="24"/>
        <w:szCs w:val="24"/>
        <w:lang w:val="sv"/>
      </w:rPr>
    </w:rPrDefault>
    <w:pPrDefault>
      <w:pPr>
        <w:spacing w:line="276" w:lineRule="auto"/>
        <w:ind w:left="-566.9291338582677" w:right="-607.7952755905511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-566.9291338582677" w:firstLine="0"/>
    </w:pPr>
    <w:rPr>
      <w:rFonts w:ascii="Sofia Sans Condensed" w:cs="Sofia Sans Condensed" w:eastAsia="Sofia Sans Condensed" w:hAnsi="Sofia Sans Condense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-566.9291338582677" w:firstLine="0"/>
    </w:pPr>
    <w:rPr>
      <w:rFonts w:ascii="Sofia Sans Condensed" w:cs="Sofia Sans Condensed" w:eastAsia="Sofia Sans Condensed" w:hAnsi="Sofia Sans Condense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-566.9291338582677" w:firstLine="0"/>
    </w:pPr>
    <w:rPr>
      <w:rFonts w:ascii="Sofia Sans Condensed" w:cs="Sofia Sans Condensed" w:eastAsia="Sofia Sans Condensed" w:hAnsi="Sofia Sans Condensed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-566.9291338582677" w:firstLine="0"/>
    </w:pPr>
    <w:rPr>
      <w:rFonts w:ascii="Sofia Sans Condensed" w:cs="Sofia Sans Condensed" w:eastAsia="Sofia Sans Condensed" w:hAnsi="Sofia Sans Condensed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-566.9291338582677" w:right="-607.7952755905511" w:firstLine="0"/>
    </w:pPr>
    <w:rPr>
      <w:rFonts w:ascii="Sofia Sans Extra Condensed" w:cs="Sofia Sans Extra Condensed" w:eastAsia="Sofia Sans Extra Condensed" w:hAnsi="Sofia Sans Extra Condensed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ind w:left="-566.9291338582677" w:right="-607.7952755905511" w:firstLine="0"/>
    </w:pPr>
    <w:rPr>
      <w:rFonts w:ascii="Sofia Sans Condensed" w:cs="Sofia Sans Condensed" w:eastAsia="Sofia Sans Condensed" w:hAnsi="Sofia Sans Condensed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20" Type="http://schemas.openxmlformats.org/officeDocument/2006/relationships/font" Target="fonts/SofiaSansCondensed-boldItalic.ttf"/><Relationship Id="rId11" Type="http://schemas.openxmlformats.org/officeDocument/2006/relationships/font" Target="fonts/SofiaSansSemiBold-italic.ttf"/><Relationship Id="rId10" Type="http://schemas.openxmlformats.org/officeDocument/2006/relationships/font" Target="fonts/SofiaSansSemiBold-bold.ttf"/><Relationship Id="rId13" Type="http://schemas.openxmlformats.org/officeDocument/2006/relationships/font" Target="fonts/SofiaSansExtraCondensed-regular.ttf"/><Relationship Id="rId12" Type="http://schemas.openxmlformats.org/officeDocument/2006/relationships/font" Target="fonts/SofiaSansSemiBold-boldItalic.ttf"/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9" Type="http://schemas.openxmlformats.org/officeDocument/2006/relationships/font" Target="fonts/SofiaSansSemiBold-regular.ttf"/><Relationship Id="rId15" Type="http://schemas.openxmlformats.org/officeDocument/2006/relationships/font" Target="fonts/SofiaSansExtraCondensed-italic.ttf"/><Relationship Id="rId14" Type="http://schemas.openxmlformats.org/officeDocument/2006/relationships/font" Target="fonts/SofiaSansExtraCondensed-bold.ttf"/><Relationship Id="rId17" Type="http://schemas.openxmlformats.org/officeDocument/2006/relationships/font" Target="fonts/SofiaSansCondensed-regular.ttf"/><Relationship Id="rId16" Type="http://schemas.openxmlformats.org/officeDocument/2006/relationships/font" Target="fonts/SofiaSansExtraCondensed-boldItalic.ttf"/><Relationship Id="rId5" Type="http://schemas.openxmlformats.org/officeDocument/2006/relationships/font" Target="fonts/SofiaSansCondensedLight-regular.ttf"/><Relationship Id="rId19" Type="http://schemas.openxmlformats.org/officeDocument/2006/relationships/font" Target="fonts/SofiaSansCondensed-italic.ttf"/><Relationship Id="rId6" Type="http://schemas.openxmlformats.org/officeDocument/2006/relationships/font" Target="fonts/SofiaSansCondensedLight-bold.ttf"/><Relationship Id="rId18" Type="http://schemas.openxmlformats.org/officeDocument/2006/relationships/font" Target="fonts/SofiaSansCondensed-bold.ttf"/><Relationship Id="rId7" Type="http://schemas.openxmlformats.org/officeDocument/2006/relationships/font" Target="fonts/SofiaSansCondensedLight-italic.ttf"/><Relationship Id="rId8" Type="http://schemas.openxmlformats.org/officeDocument/2006/relationships/font" Target="fonts/SofiaSansCondensedLight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