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color w:val="475569"/>
          <w:sz w:val="20"/>
        </w:rPr>
        <w:t>Working Draft 0.4 - 2026-05-25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rPr>
        <w:t>Source posture: the source material available for this edition included the uploaded Seal handbook and recent project evidence around the Latticra Panel installer, guarded user-local installation, receipts, component markers, Fedora validation traces, a one-pass field-engine browser artifact, Lat/LIR implementation records, Latticra Console Stage-0 foundation records, defensive threat-model validation, runtime-boundary policy expansion, and abuse-case fixtures. Where the broader project is not fully specified by those materials, this book defines a conservative model rather than asserting unverified implementation details.</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Local report generation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Manifest/hash baseline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Policy regression lane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Panel bridge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Guarded local-prefix installer</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Evidence from local installer work</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Network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network authority.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Root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root installation.</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Kernel/systemd/SELinux integration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Production host security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host protection, malware prevention, or ransomware prevention.</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c>
          <w:tcPr>
            <w:tcW w:type="dxa" w:w="3331"/>
          </w:tcPr>
          <w:p>
            <w:r>
              <w:t>LC</w:t>
            </w:r>
          </w:p>
        </w:tc>
        <w:tc>
          <w:tcPr>
            <w:tcW w:type="dxa" w:w="3331"/>
          </w:tcPr>
          <w:p>
            <w:r>
              <w:t>latticra-lc, command registry, profiles</w:t>
            </w:r>
          </w:p>
        </w:tc>
        <w:tc>
          <w:tcPr>
            <w:tcW w:type="dxa" w:w="3331"/>
          </w:tcPr>
          <w:p>
            <w:r>
              <w:t>Operator command surface with no-effect metadata and future gates.</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and bound to Runtime Boundary classification plus Seal capability labels.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The review rule is simple: adding a command means adding its effect label, capability label, no-effect flag, future-gate status, report surface, and denial behavior before widening authority.</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vector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Boundary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Claim ledger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Effect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Evidence-bound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Fail closed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Substrate</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foundational layer of state, policy, evidence, and authority relations.</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rPr>
        <w:t>A strong public sentence: "Latticra is an early, local, evidence-bound substrate for report-only verification, policy regression, manifest/hash baselines,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rPr>
          <w:rFonts w:ascii="Liberation Serif" w:hAnsi="Liberation Serif"/>
        </w:rPr>
        <w:t>This edition was derived from the uploaded Latticra Seal handbook and broadened with recent repository material containing Panel installer notes, dry-run and local-prefix install transcripts, receipt and component-marker evidence, Fedora validation snippets, the one-pass field-engine browser artifact, May 25 Lat/LIR no-effect implementation records, Latticra Console Stage-0 foundation records, defensive threat-model validation, runtime-boundary policy expansion, and abuse-case fixture records. The expansion is conservative: it treats the broader project as a substrate architecture and does not claim production security readiness, runtime enforcement, network authority, root authority, kernel integration, SELinux integration, systemd enforcement, or Fedora approval.</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Seal handbook</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Panel installer material</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Installer receipts and dry-run evidence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Fedora/RPM validation snippets</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One-pass field engine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Research artifact and witness-manifest pattern.</w:t>
            </w:r>
          </w:p>
        </w:tc>
      </w:tr>
      <w:tr>
        <w:tc>
          <w:tcPr>
            <w:tcW w:type="dxa" w:w="4997"/>
          </w:tcPr>
          <w:p>
            <w:r>
              <w:t>Latticra Console foundation</w:t>
            </w:r>
          </w:p>
        </w:tc>
        <w:tc>
          <w:tcPr>
            <w:tcW w:type="dxa" w:w="4997"/>
          </w:tcPr>
          <w:p>
            <w:r>
              <w:t>Stage-0 command registry, Panel installability, runtime-boundary binding, and no-effect operator-surface posture.</w:t>
            </w:r>
          </w:p>
        </w:tc>
      </w:tr>
    </w:tbl>
    <w:p>
      <w:pPr>
        <w:pStyle w:val="BodyTight"/>
      </w:pPr>
    </w:p>
    <w:p>
      <w:pPr>
        <w:pStyle w:val="BodyTight"/>
      </w:pPr>
      <w:r>
        <w:rPr>
          <w:rFonts w:ascii="Liberation Serif" w:hAnsi="Liberation Serif"/>
        </w:rPr>
        <w:t>Future editions should replace inferred project-level connective tissue with canonical repository documents as they mature: a root architecture spec, Lat/LIR spec, Panel UX contract, Latticra Console host-embedding contract, installer readiness contract, report schema, receipt schema, and runtime-handoff specification.</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BodyTight"/>
      </w:pPr>
      <w:r>
        <w:rPr>
          <w:rFonts w:ascii="Liberation Serif" w:hAnsi="Liberation Serif"/>
        </w:rPr>
        <w:t>The result is a project that can mature without pretending. That is the Latticra contribution: not a premature claim of security, but a substrate where the effects of modern security work become explicit enough to verify.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