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Liberation Sans" w:hAnsi="Liberation Sans"/>
          <w:b/>
          <w:color w:val="1E3A8A"/>
          <w:sz w:val="30"/>
        </w:rPr>
        <w:t>LATTICRA</w:t>
      </w:r>
    </w:p>
    <w:p>
      <w:pPr>
        <w:pStyle w:val="Title"/>
        <w:jc w:val="center"/>
      </w:pPr>
      <w:r>
        <w:rPr>
          <w:rFonts w:ascii="Liberation Serif" w:hAnsi="Liberation Serif"/>
        </w:rPr>
        <w:t>The Latticra System Substrate</w:t>
      </w:r>
    </w:p>
    <w:p>
      <w:pPr>
        <w:pStyle w:val="Subtitle"/>
        <w:jc w:val="center"/>
      </w:pPr>
      <w:r>
        <w:rPr>
          <w:rFonts w:ascii="Liberation Serif" w:hAnsi="Liberation Serif"/>
        </w:rPr>
        <w:t>An Effect at Modern Security</w:t>
      </w:r>
    </w:p>
    <w:p>
      <w:pPr>
        <w:pStyle w:val="Lead"/>
        <w:jc w:val="center"/>
      </w:pPr>
      <w:r>
        <w:rPr>
          <w:rFonts w:ascii="Liberation Serif" w:hAnsi="Liberation Serif"/>
        </w:rPr>
        <w:t>A computer scientist's guide to evidence-bound, effect-aware project security</w:t>
      </w:r>
    </w:p>
    <w:p/>
    <w:p/>
    <w:p/>
    <w:tbl>
      <w:tblPr>
        <w:tblW w:type="auto" w:w="0"/>
        <w:jc w:val="center"/>
        <w:tblLook w:firstColumn="1" w:firstRow="1" w:lastColumn="0" w:lastRow="0" w:noHBand="0" w:noVBand="1" w:val="04A0"/>
      </w:tblPr>
      <w:tblGrid>
        <w:gridCol w:w="9994"/>
      </w:tblGrid>
      <w:tr>
        <w:tc>
          <w:tcPr>
            <w:tcW w:type="dxa" w:w="9994"/>
            <w:shd w:fill="F1F5F9"/>
            <w:tcMar>
              <w:top w:w="180" w:type="dxa"/>
              <w:start w:w="220" w:type="dxa"/>
              <w:bottom w:w="180" w:type="dxa"/>
              <w:end w:w="220" w:type="dxa"/>
            </w:tcMar>
          </w:tcPr>
          <w:p>
            <w:pPr>
              <w:jc w:val="center"/>
            </w:pPr>
            <w:r>
              <w:rPr>
                <w:rFonts w:ascii="Liberation Sans" w:hAnsi="Liberation Sans"/>
                <w:color w:val="0F172A"/>
                <w:sz w:val="21"/>
              </w:rPr>
              <w:t>Evidence-first architecture for local integrity, policy boundaries, reproducible reports, and future runtime-handoff research.</w:t>
            </w:r>
          </w:p>
        </w:tc>
      </w:tr>
    </w:tbl>
    <w:p/>
    <w:p>
      <w:pPr>
        <w:jc w:val="center"/>
      </w:pPr>
      <w:r>
        <w:t>Working Draft 0.12 - 2026-05-26</w:t>
      </w:r>
    </w:p>
    <w:p>
      <w:r>
        <w:rPr>
          <w:rFonts w:ascii="Liberation Serif" w:hAnsi="Liberation Serif"/>
        </w:rPr>
        <w:br w:type="page"/>
      </w:r>
    </w:p>
    <w:p>
      <w:pPr>
        <w:pStyle w:val="Heading1"/>
      </w:pPr>
      <w:r>
        <w:rPr>
          <w:rFonts w:ascii="Liberation Serif" w:hAnsi="Liberation Serif"/>
        </w:rPr>
        <w:t>Front Matter</w:t>
      </w:r>
    </w:p>
    <w:p>
      <w:pPr>
        <w:pStyle w:val="BodyTight"/>
      </w:pPr>
      <w:r>
        <w:rPr>
          <w:rFonts w:ascii="Liberation Serif" w:hAnsi="Liberation Serif"/>
        </w:rPr>
        <w:t>This book overhauls the original Latticra Seal handbook into a project-level explanation of Latticra as a system substrate. It is written for computer scientists: readers who care about invariants, authority boundaries, reproducible evidence, policy semantics, and the difference between measuring a system and enforcing a system.</w:t>
      </w:r>
    </w:p>
    <w:p>
      <w:pPr>
        <w:pStyle w:val="BodyTight"/>
      </w:pPr>
      <w:r>
        <w:rPr>
          <w:rFonts w:ascii="Liberation Serif" w:hAnsi="Liberation Serif"/>
        </w:rPr>
        <w:t>The project should be understood as early and evidence-bound. The text deliberately avoids calling Latticra a production security product, a host-protection system, a sandbox, a kernel enforcement layer, a ransomware prevention system, or a malware prevention system. The value proposition presented here is narrower and more interesting: Latticra is a substrate for making security-relevant effects visible, typed, reviewable, and eventually governable.</w:t>
      </w:r>
    </w:p>
    <w:p>
      <w:pPr>
        <w:pStyle w:val="BodyTight"/>
      </w:pPr>
      <w:r>
        <w:t>Source posture: this edition draws from the Seal handbook plus current Seal signed-request, request-freshness, verification-receipt, crypto-verify-backend, Ed25519 verify-only, verified-receipt-promotion, verified-capability-gate, verified-effect-decision, runtime-handoff-evaluation, runtime-handoff-report, report-envelope, signature-request, capability-gate, and effect-decision records; Latticra Console Stage-0 host-adapter, receipt-request, receipt-payload, signature-request-binding, OS-base, and VM-evidence contract surfaces; Runtime Boundary Lat pipeline first-clause evidence propagation; Panel/installer receipts; Fedora and macOS validation material; Lat/LIR, Nucleus, Nadia, runtime-boundary, kernel-lifecycle, and defensive threat-model notes; and the one-pass field engine research artifact.</w:t>
      </w:r>
    </w:p>
    <w:p>
      <w:pPr>
        <w:pStyle w:val="Heading2"/>
      </w:pPr>
      <w:r>
        <w:t>Living handbook cadence</w:t>
      </w:r>
    </w:p>
    <w:p>
      <w:pPr>
        <w:pStyle w:val="BodyTight"/>
      </w:pPr>
      <w:r>
        <w:t>This edition is a working artifact. As repository notes, status records, validation lanes, command contracts, and capability boundaries change, the durable changes should be folded back into this handbook instead of living only in scattered logs.</w:t>
      </w:r>
    </w:p>
    <w:p>
      <w:pPr>
        <w:pStyle w:val="BodyTight"/>
      </w:pPr>
      <w:r>
        <w:t>The update rule is evidence-bound: record what is implemented, tested, measured, planned, or explicitly out of scope, and keep future runtime, enforcement, host-protection, packaging, and production claims behind reproducible evidence.</w:t>
      </w:r>
    </w:p>
    <w:p>
      <w:pPr>
        <w:pStyle w:val="Heading1"/>
      </w:pPr>
      <w:r>
        <w:rPr>
          <w:rFonts w:ascii="Liberation Serif" w:hAnsi="Liberation Serif"/>
        </w:rPr>
        <w:t>Contents</w:t>
      </w:r>
    </w:p>
    <w:tbl>
      <w:tblPr>
        <w:tblStyle w:val="TableGrid"/>
        <w:tblW w:type="auto" w:w="0"/>
        <w:jc w:val="center"/>
        <w:tblLook w:firstColumn="1" w:firstRow="1" w:lastColumn="0" w:lastRow="0" w:noHBand="0" w:noVBand="1" w:val="04A0"/>
      </w:tblPr>
      <w:tblGrid>
        <w:gridCol w:w="4997"/>
        <w:gridCol w:w="4997"/>
      </w:tblGrid>
      <w:tr>
        <w:tc>
          <w:tcPr>
            <w:tcW w:type="dxa" w:w="1728"/>
            <w:shd w:fill="E2E8F0"/>
            <w:tcMar>
              <w:top w:w="70" w:type="dxa"/>
              <w:start w:w="70" w:type="dxa"/>
              <w:bottom w:w="70" w:type="dxa"/>
              <w:end w:w="70" w:type="dxa"/>
            </w:tcMar>
            <w:vAlign w:val="center"/>
          </w:tcPr>
          <w:p>
            <w:r/>
            <w:r>
              <w:rPr>
                <w:rFonts w:ascii="Liberation Sans" w:hAnsi="Liberation Sans"/>
                <w:b/>
                <w:color w:val="0F172A"/>
                <w:sz w:val="17"/>
              </w:rPr>
              <w:t>Section</w:t>
            </w:r>
          </w:p>
        </w:tc>
        <w:tc>
          <w:tcPr>
            <w:tcW w:type="dxa" w:w="7920"/>
            <w:shd w:fill="E2E8F0"/>
            <w:tcMar>
              <w:top w:w="70" w:type="dxa"/>
              <w:start w:w="70" w:type="dxa"/>
              <w:bottom w:w="70" w:type="dxa"/>
              <w:end w:w="70" w:type="dxa"/>
            </w:tcMar>
            <w:vAlign w:val="center"/>
          </w:tcPr>
          <w:p>
            <w:r/>
            <w:r>
              <w:rPr>
                <w:rFonts w:ascii="Liberation Sans" w:hAnsi="Liberation Sans"/>
                <w:b/>
                <w:color w:val="0F172A"/>
                <w:sz w:val="17"/>
              </w:rPr>
              <w:t>Title</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Part I</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Orientation</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1</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Why Latticra Exists</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2</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The Substrate Model</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3</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Current Evidence and Claim Ledger</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Part II</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Project Architecture</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4</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Latticra Components</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5</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Latticra Seal</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6</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Panel, Installer, and Receipts</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7</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Lat, LIR, and Contract Surfaces</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8</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Field Engine and Research Artifacts</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Part III</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Security Model</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9</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Authority Vectors and Effect Classes</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10</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Policy as a Fail-Closed Compiler</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11</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Reports, Receipts, and Witness Objects</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12</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Threats, Non-Goals, and Honest Boundaries</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Part IV</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Implementation Workbook</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13</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Command Contracts</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14</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Schemas and Formats</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15</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Test Lanes and Continuous Evidence</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16</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Roadmap and Research Agenda</w:t>
            </w:r>
          </w:p>
        </w:tc>
      </w:tr>
      <w:tr>
        <w:tc>
          <w:tcPr>
            <w:tcW w:type="dxa" w:w="1728"/>
            <w:tcMar>
              <w:top w:w="60" w:type="dxa"/>
              <w:start w:w="70" w:type="dxa"/>
              <w:bottom w:w="60" w:type="dxa"/>
              <w:end w:w="70" w:type="dxa"/>
            </w:tcMar>
            <w:vAlign w:val="top"/>
          </w:tcPr>
          <w:p>
            <w:pPr>
              <w:spacing w:after="0"/>
            </w:pPr>
            <w:r/>
            <w:r>
              <w:rPr>
                <w:rFonts w:ascii="Liberation Sans" w:hAnsi="Liberation Sans"/>
                <w:color w:val="0F172A"/>
                <w:sz w:val="16"/>
              </w:rPr>
              <w:t>Appendices</w:t>
            </w:r>
          </w:p>
        </w:tc>
        <w:tc>
          <w:tcPr>
            <w:tcW w:type="dxa" w:w="7920"/>
            <w:tcMar>
              <w:top w:w="60" w:type="dxa"/>
              <w:start w:w="70" w:type="dxa"/>
              <w:bottom w:w="60" w:type="dxa"/>
              <w:end w:w="70" w:type="dxa"/>
            </w:tcMar>
            <w:vAlign w:val="top"/>
          </w:tcPr>
          <w:p>
            <w:pPr>
              <w:spacing w:after="0"/>
            </w:pPr>
            <w:r/>
            <w:r>
              <w:rPr>
                <w:rFonts w:ascii="Liberation Sans" w:hAnsi="Liberation Sans"/>
                <w:color w:val="0F172A"/>
                <w:sz w:val="16"/>
              </w:rPr>
              <w:t>Glossary, checklists, public wording, and source basis</w:t>
            </w:r>
          </w:p>
        </w:tc>
      </w:tr>
    </w:tbl>
    <w:p>
      <w:pPr>
        <w:pStyle w:val="Heading1"/>
        <w:jc w:val="center"/>
      </w:pPr>
      <w:r>
        <w:rPr>
          <w:rFonts w:ascii="Liberation Serif" w:hAnsi="Liberation Serif"/>
          <w:sz w:val="40"/>
        </w:rPr>
        <w:t>Part I - Orientation</w:t>
      </w:r>
    </w:p>
    <w:p>
      <w:pPr>
        <w:pStyle w:val="Lead"/>
        <w:jc w:val="center"/>
      </w:pPr>
      <w:r>
        <w:rPr>
          <w:rFonts w:ascii="Liberation Serif" w:hAnsi="Liberation Serif"/>
        </w:rPr>
        <w:t>Latticra begins as a way to make system effects legible before it tries to make them enforceable.</w:t>
      </w:r>
    </w:p>
    <w:p>
      <w:r>
        <w:rPr>
          <w:rFonts w:ascii="Liberation Serif" w:hAnsi="Liberation Serif"/>
        </w:rPr>
        <w:br w:type="page"/>
      </w:r>
    </w:p>
    <w:p>
      <w:pPr>
        <w:pStyle w:val="Heading1"/>
      </w:pPr>
      <w:r>
        <w:rPr>
          <w:rFonts w:ascii="Liberation Serif" w:hAnsi="Liberation Serif"/>
        </w:rPr>
        <w:t>Chapter 1. Why Latticra Exists</w:t>
      </w:r>
    </w:p>
    <w:p>
      <w:pPr>
        <w:pStyle w:val="Lead"/>
      </w:pPr>
      <w:r>
        <w:rPr>
          <w:rFonts w:ascii="Liberation Serif" w:hAnsi="Liberation Serif"/>
        </w:rPr>
        <w:t>Modern systems fail as much from invisible authority and ambiguous claims as they do from isolated bugs. Latticra treats security posture as something that must be measured, constrained, documented, and reproduced before it is trusted.</w:t>
      </w:r>
    </w:p>
    <w:p>
      <w:pPr>
        <w:pStyle w:val="BodyTight"/>
      </w:pPr>
      <w:r>
        <w:rPr>
          <w:rFonts w:ascii="Liberation Serif" w:hAnsi="Liberation Serif"/>
        </w:rPr>
        <w:t>Most security projects begin by promising protection. Latticra should begin with a more careful claim: it can help a developer and operator know what the project says it did, what evidence it can produce, and which authorities it explicitly did not use. This is not a weaker story. It is a computer-science story. It turns vague trust into state, transition, policy, and evidence.</w:t>
      </w:r>
    </w:p>
    <w:p>
      <w:pPr>
        <w:pStyle w:val="BodyTight"/>
      </w:pPr>
      <w:r>
        <w:rPr>
          <w:rFonts w:ascii="Liberation Serif" w:hAnsi="Liberation Serif"/>
        </w:rPr>
        <w:t>The original Seal handbook presents Seal as the verification, reporting, and policy-boundary layer inside the ecosystem. This book expands that layer into a whole-project architecture: Latticra is a substrate whose primary job is to convert local project state into inspectable evidence and to keep unsupported authority claims from crossing a boundary unnoticed.</w:t>
      </w:r>
    </w:p>
    <w:p>
      <w:pPr>
        <w:pStyle w:val="BodyTight"/>
      </w:pPr>
      <w:r>
        <w:rPr>
          <w:rFonts w:ascii="Liberation Serif" w:hAnsi="Liberation Serif"/>
        </w:rPr>
        <w:t>The phrase "an effect at modern security" is used here as a technical metaphor. In programming-language terms, an effect is something a computation does outside pure value production. Reading files, writing receipts, mutating host state, requesting network authority, installing wrappers, modifying kernel surfaces, and claiming runtime enforcement are effects. Latticra is useful when it makes those effects explicit and typed.</w:t>
      </w:r>
    </w:p>
    <w:p>
      <w:pPr>
        <w:pStyle w:val="BodyTight"/>
      </w:pPr>
      <w:r>
        <w:rPr>
          <w:rFonts w:ascii="Liberation Serif" w:hAnsi="Liberation Serif"/>
        </w:rPr>
        <w:t>The project therefore addresses a recurring security engineering problem: a tool may be locally helpful, but nobody can quickly tell which authority it had, which state it observed, which files it changed, whether its report is reproducible, and whether the words around it outrun the tests. Latticra answers by making the default path evidence-first and claim-limited.</w:t>
      </w:r>
    </w:p>
    <w:p>
      <w:pPr>
        <w:pStyle w:val="Heading2"/>
      </w:pPr>
      <w:r>
        <w:rPr>
          <w:rFonts w:ascii="Liberation Serif" w:hAnsi="Liberation Serif"/>
        </w:rPr>
        <w:t>1.1 The central thesis</w:t>
      </w:r>
    </w:p>
    <w:p>
      <w:pPr>
        <w:pStyle w:val="BodyTight"/>
      </w:pPr>
      <w:r>
        <w:rPr>
          <w:rFonts w:ascii="Liberation Serif" w:hAnsi="Liberation Serif"/>
        </w:rPr>
        <w:t>Latticra is an evidence-bound system substrate for describing, measuring, and presenting local project state under explicit authority constraints. It is not currently a production host defense product. Its importance is the discipline it introduces: before a project can enforce a security boundary, it must be able to name the boundary, test the boundary, report the boundary, and deny claims that exceed it.</w:t>
      </w:r>
    </w:p>
    <w:p>
      <w:pPr>
        <w:pStyle w:val="ListBullet"/>
        <w:spacing w:after="40"/>
      </w:pPr>
      <w:r>
        <w:rPr>
          <w:rFonts w:ascii="Liberation Serif" w:hAnsi="Liberation Serif"/>
        </w:rPr>
        <w:t>Evidence before enforcement: reports and receipts must precede security claims.</w:t>
      </w:r>
    </w:p>
    <w:p>
      <w:pPr>
        <w:pStyle w:val="ListBullet"/>
        <w:spacing w:after="40"/>
      </w:pPr>
      <w:r>
        <w:rPr>
          <w:rFonts w:ascii="Liberation Serif" w:hAnsi="Liberation Serif"/>
        </w:rPr>
        <w:t>Authority before mutation: root, network, runtime, kernel, systemd, and SELinux authority must be explicit.</w:t>
      </w:r>
    </w:p>
    <w:p>
      <w:pPr>
        <w:pStyle w:val="ListBullet"/>
        <w:spacing w:after="40"/>
      </w:pPr>
      <w:r>
        <w:rPr>
          <w:rFonts w:ascii="Liberation Serif" w:hAnsi="Liberation Serif"/>
        </w:rPr>
        <w:t>Policy before pass: a PASS means declared local expectations were met, not that the host is secure.</w:t>
      </w:r>
    </w:p>
    <w:p>
      <w:pPr>
        <w:pStyle w:val="ListBullet"/>
        <w:spacing w:after="40"/>
      </w:pPr>
      <w:r>
        <w:rPr>
          <w:rFonts w:ascii="Liberation Serif" w:hAnsi="Liberation Serif"/>
        </w:rPr>
        <w:t>Documentation before marketing: claims are bounded by implemented, tested, and reproducible behavior.</w:t>
      </w:r>
    </w:p>
    <w:p>
      <w:pPr>
        <w:pStyle w:val="Heading2"/>
      </w:pPr>
      <w:r>
        <w:rPr>
          <w:rFonts w:ascii="Liberation Serif" w:hAnsi="Liberation Serif"/>
        </w:rPr>
        <w:t>1.2 The reader model</w:t>
      </w:r>
    </w:p>
    <w:p>
      <w:pPr>
        <w:pStyle w:val="BodyTight"/>
      </w:pPr>
      <w:r>
        <w:rPr>
          <w:rFonts w:ascii="Liberation Serif" w:hAnsi="Liberation Serif"/>
        </w:rPr>
        <w:t>This book assumes the reader is comfortable with operating systems, local package layouts, CI lanes, hashing, manifests, policy checks, and basic formal modeling. The goal is not to teach security from first principles. The goal is to explain the shape of Latticra as an artifact that computer scientists can inspect, criticize, extend, and test.</w:t>
      </w:r>
    </w:p>
    <w:p>
      <w:pPr>
        <w:pStyle w:val="Heading2"/>
      </w:pPr>
      <w:r>
        <w:rPr>
          <w:rFonts w:ascii="Liberation Serif" w:hAnsi="Liberation Serif"/>
        </w:rPr>
        <w:t>1.3 The smallest useful mental model</w:t>
      </w:r>
    </w:p>
    <w:p>
      <w:pPr>
        <w:pStyle w:val="CaptionSmall"/>
      </w:pPr>
      <w:r>
        <w:rPr>
          <w:rFonts w:ascii="Liberation Serif" w:hAnsi="Liberation Serif"/>
        </w:rPr>
        <w:t>Figure 1.1 - Minimal Latticra model.</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Project tree P</w:t>
            </w:r>
            <w:r>
              <w:br/>
            </w:r>
            <w:r>
              <w:rPr>
                <w:rFonts w:ascii="Liberation Mono" w:hAnsi="Liberation Mono"/>
                <w:sz w:val="16"/>
              </w:rPr>
              <w:t xml:space="preserve">  -&gt; declared scope M</w:t>
            </w:r>
            <w:r>
              <w:br/>
            </w:r>
            <w:r>
              <w:rPr>
                <w:rFonts w:ascii="Liberation Mono" w:hAnsi="Liberation Mono"/>
                <w:sz w:val="16"/>
              </w:rPr>
              <w:t xml:space="preserve">  -&gt; measured state H</w:t>
            </w:r>
            <w:r>
              <w:br/>
            </w:r>
            <w:r>
              <w:rPr>
                <w:rFonts w:ascii="Liberation Mono" w:hAnsi="Liberation Mono"/>
                <w:sz w:val="16"/>
              </w:rPr>
              <w:t xml:space="preserve">  -&gt; policy decision D</w:t>
            </w:r>
            <w:r>
              <w:br/>
            </w:r>
            <w:r>
              <w:rPr>
                <w:rFonts w:ascii="Liberation Mono" w:hAnsi="Liberation Mono"/>
                <w:sz w:val="16"/>
              </w:rPr>
              <w:t xml:space="preserve">  -&gt; report or receipt R</w:t>
            </w:r>
            <w:r>
              <w:br/>
            </w:r>
            <w:r>
              <w:rPr>
                <w:rFonts w:ascii="Liberation Mono" w:hAnsi="Liberation Mono"/>
                <w:sz w:val="16"/>
              </w:rPr>
              <w:t xml:space="preserve">  -&gt; claim set C</w:t>
            </w:r>
            <w:r>
              <w:br/>
            </w:r>
            <w:r>
              <w:rPr>
                <w:rFonts w:ascii="Liberation Mono" w:hAnsi="Liberation Mono"/>
                <w:sz w:val="16"/>
              </w:rPr>
            </w:r>
            <w:r>
              <w:br/>
            </w:r>
            <w:r>
              <w:rPr>
                <w:rFonts w:ascii="Liberation Mono" w:hAnsi="Liberation Mono"/>
                <w:sz w:val="16"/>
              </w:rPr>
              <w:t>Latticra is useful when:  C &lt;= evidence(R) &lt;= test(D) &lt;= implemented effects(P)</w:t>
            </w:r>
          </w:p>
        </w:tc>
      </w:tr>
    </w:tbl>
    <w:p>
      <w:pPr>
        <w:pStyle w:val="BodyTight"/>
      </w:pPr>
    </w:p>
    <w:p>
      <w:pPr>
        <w:pStyle w:val="BodyTight"/>
      </w:pPr>
      <w:r>
        <w:rPr>
          <w:rFonts w:ascii="Liberation Serif" w:hAnsi="Liberation Serif"/>
        </w:rPr>
        <w:t>The model says that public claims must be no stronger than evidence. Evidence must be no stronger than tests. Tests must be no stronger than implemented effects. This creates a ladder that prevents the project from jumping directly from "we computed a hash" to "we secure the host."</w:t>
      </w:r>
    </w:p>
    <w:p>
      <w:pPr>
        <w:pStyle w:val="Heading1"/>
      </w:pPr>
      <w:r>
        <w:rPr>
          <w:rFonts w:ascii="Liberation Serif" w:hAnsi="Liberation Serif"/>
        </w:rPr>
        <w:t>Chapter 2. The Substrate Model</w:t>
      </w:r>
    </w:p>
    <w:p>
      <w:pPr>
        <w:pStyle w:val="Lead"/>
      </w:pPr>
      <w:r>
        <w:rPr>
          <w:rFonts w:ascii="Liberation Serif" w:hAnsi="Liberation Serif"/>
        </w:rPr>
        <w:t>A substrate is a layer that other parts of a system can stand on. In Latticra, the substrate is not an operating system replacement; it is a vocabulary and evidence pipeline for system state, authority, and future security decisions.</w:t>
      </w:r>
    </w:p>
    <w:p>
      <w:pPr>
        <w:pStyle w:val="BodyTight"/>
      </w:pPr>
      <w:r>
        <w:rPr>
          <w:rFonts w:ascii="Liberation Serif" w:hAnsi="Liberation Serif"/>
        </w:rPr>
        <w:t>The substrate idea is intentionally narrower than a platform claim. A platform normally promises user-facing capabilities. A substrate promises stable underlying relations: what can be observed, what can be recorded, what can be denied, and what future layers may consume. The Latticra substrate is a set of local mechanisms and design rules that encourage every meaningful effect to leave behind an intelligible witness.</w:t>
      </w:r>
    </w:p>
    <w:p>
      <w:pPr>
        <w:pStyle w:val="Heading2"/>
      </w:pPr>
      <w:r>
        <w:rPr>
          <w:rFonts w:ascii="Liberation Serif" w:hAnsi="Liberation Serif"/>
        </w:rPr>
        <w:t>2.1 Substrate objects</w:t>
      </w:r>
    </w:p>
    <w:tbl>
      <w:tblPr>
        <w:tblStyle w:val="TableGrid"/>
        <w:tblW w:type="auto" w:w="0"/>
        <w:jc w:val="center"/>
        <w:tblLook w:firstColumn="1" w:firstRow="1" w:lastColumn="0" w:lastRow="0" w:noHBand="0" w:noVBand="1" w:val="04A0"/>
      </w:tblPr>
      <w:tblGrid>
        <w:gridCol w:w="3331"/>
        <w:gridCol w:w="3331"/>
        <w:gridCol w:w="3331"/>
      </w:tblGrid>
      <w:tr>
        <w:tc>
          <w:tcPr>
            <w:tcW w:type="dxa" w:w="1872"/>
            <w:shd w:fill="E2E8F0"/>
            <w:tcMar>
              <w:top w:w="70" w:type="dxa"/>
              <w:start w:w="70" w:type="dxa"/>
              <w:bottom w:w="70" w:type="dxa"/>
              <w:end w:w="70" w:type="dxa"/>
            </w:tcMar>
            <w:vAlign w:val="center"/>
          </w:tcPr>
          <w:p>
            <w:r/>
            <w:r>
              <w:rPr>
                <w:rFonts w:ascii="Liberation Sans" w:hAnsi="Liberation Sans"/>
                <w:b/>
                <w:color w:val="0F172A"/>
                <w:sz w:val="17"/>
              </w:rPr>
              <w:t>Object</w:t>
            </w:r>
          </w:p>
        </w:tc>
        <w:tc>
          <w:tcPr>
            <w:tcW w:type="dxa" w:w="5040"/>
            <w:shd w:fill="E2E8F0"/>
            <w:tcMar>
              <w:top w:w="70" w:type="dxa"/>
              <w:start w:w="70" w:type="dxa"/>
              <w:bottom w:w="70" w:type="dxa"/>
              <w:end w:w="70" w:type="dxa"/>
            </w:tcMar>
            <w:vAlign w:val="center"/>
          </w:tcPr>
          <w:p>
            <w:r/>
            <w:r>
              <w:rPr>
                <w:rFonts w:ascii="Liberation Sans" w:hAnsi="Liberation Sans"/>
                <w:b/>
                <w:color w:val="0F172A"/>
                <w:sz w:val="17"/>
              </w:rPr>
              <w:t>Role in the substrate</w:t>
            </w:r>
          </w:p>
        </w:tc>
        <w:tc>
          <w:tcPr>
            <w:tcW w:type="dxa" w:w="2736"/>
            <w:shd w:fill="E2E8F0"/>
            <w:tcMar>
              <w:top w:w="70" w:type="dxa"/>
              <w:start w:w="70" w:type="dxa"/>
              <w:bottom w:w="70" w:type="dxa"/>
              <w:end w:w="70" w:type="dxa"/>
            </w:tcMar>
            <w:vAlign w:val="center"/>
          </w:tcPr>
          <w:p>
            <w:r/>
            <w:r>
              <w:rPr>
                <w:rFonts w:ascii="Liberation Sans" w:hAnsi="Liberation Sans"/>
                <w:b/>
                <w:color w:val="0F172A"/>
                <w:sz w:val="17"/>
              </w:rPr>
              <w:t>Current posture</w:t>
            </w:r>
          </w:p>
        </w:tc>
      </w:tr>
      <w:tr>
        <w:tc>
          <w:tcPr>
            <w:tcW w:type="dxa" w:w="1872"/>
            <w:tcMar>
              <w:top w:w="60" w:type="dxa"/>
              <w:start w:w="70" w:type="dxa"/>
              <w:bottom w:w="60" w:type="dxa"/>
              <w:end w:w="70" w:type="dxa"/>
            </w:tcMar>
            <w:vAlign w:val="top"/>
          </w:tcPr>
          <w:p>
            <w:pPr>
              <w:spacing w:after="0"/>
            </w:pPr>
            <w:r/>
            <w:r>
              <w:rPr>
                <w:rFonts w:ascii="Liberation Sans" w:hAnsi="Liberation Sans"/>
                <w:color w:val="0F172A"/>
                <w:sz w:val="16"/>
              </w:rPr>
              <w:t>Manifest</w:t>
            </w:r>
          </w:p>
        </w:tc>
        <w:tc>
          <w:tcPr>
            <w:tcW w:type="dxa" w:w="5040"/>
            <w:tcMar>
              <w:top w:w="60" w:type="dxa"/>
              <w:start w:w="70" w:type="dxa"/>
              <w:bottom w:w="60" w:type="dxa"/>
              <w:end w:w="70" w:type="dxa"/>
            </w:tcMar>
            <w:vAlign w:val="top"/>
          </w:tcPr>
          <w:p>
            <w:pPr>
              <w:spacing w:after="0"/>
            </w:pPr>
            <w:r/>
            <w:r>
              <w:rPr>
                <w:rFonts w:ascii="Liberation Sans" w:hAnsi="Liberation Sans"/>
                <w:color w:val="0F172A"/>
                <w:sz w:val="16"/>
              </w:rPr>
              <w:t>Declares what the tool may inspect and what expectations apply.</w:t>
            </w:r>
          </w:p>
        </w:tc>
        <w:tc>
          <w:tcPr>
            <w:tcW w:type="dxa" w:w="2736"/>
            <w:tcMar>
              <w:top w:w="60" w:type="dxa"/>
              <w:start w:w="70" w:type="dxa"/>
              <w:bottom w:w="60" w:type="dxa"/>
              <w:end w:w="70" w:type="dxa"/>
            </w:tcMar>
            <w:vAlign w:val="top"/>
          </w:tcPr>
          <w:p>
            <w:pPr>
              <w:spacing w:after="0"/>
            </w:pPr>
            <w:r/>
            <w:r>
              <w:rPr>
                <w:rFonts w:ascii="Liberation Sans" w:hAnsi="Liberation Sans"/>
                <w:color w:val="0F172A"/>
                <w:sz w:val="16"/>
              </w:rPr>
              <w:t>Core Seal concept; schema should be hardened.</w:t>
            </w:r>
          </w:p>
        </w:tc>
      </w:tr>
      <w:tr>
        <w:tc>
          <w:tcPr>
            <w:tcW w:type="dxa" w:w="1872"/>
            <w:tcMar>
              <w:top w:w="60" w:type="dxa"/>
              <w:start w:w="70" w:type="dxa"/>
              <w:bottom w:w="60" w:type="dxa"/>
              <w:end w:w="70" w:type="dxa"/>
            </w:tcMar>
            <w:vAlign w:val="top"/>
          </w:tcPr>
          <w:p>
            <w:pPr>
              <w:spacing w:after="0"/>
            </w:pPr>
            <w:r/>
            <w:r>
              <w:rPr>
                <w:rFonts w:ascii="Liberation Sans" w:hAnsi="Liberation Sans"/>
                <w:color w:val="0F172A"/>
                <w:sz w:val="16"/>
              </w:rPr>
              <w:t>Lock/baseline</w:t>
            </w:r>
          </w:p>
        </w:tc>
        <w:tc>
          <w:tcPr>
            <w:tcW w:type="dxa" w:w="5040"/>
            <w:tcMar>
              <w:top w:w="60" w:type="dxa"/>
              <w:start w:w="70" w:type="dxa"/>
              <w:bottom w:w="60" w:type="dxa"/>
              <w:end w:w="70" w:type="dxa"/>
            </w:tcMar>
            <w:vAlign w:val="top"/>
          </w:tcPr>
          <w:p>
            <w:pPr>
              <w:spacing w:after="0"/>
            </w:pPr>
            <w:r/>
            <w:r>
              <w:rPr>
                <w:rFonts w:ascii="Liberation Sans" w:hAnsi="Liberation Sans"/>
                <w:color w:val="0F172A"/>
                <w:sz w:val="16"/>
              </w:rPr>
              <w:t>Captures hash material or expected state against which change is measured.</w:t>
            </w:r>
          </w:p>
        </w:tc>
        <w:tc>
          <w:tcPr>
            <w:tcW w:type="dxa" w:w="2736"/>
            <w:tcMar>
              <w:top w:w="60" w:type="dxa"/>
              <w:start w:w="70" w:type="dxa"/>
              <w:bottom w:w="60" w:type="dxa"/>
              <w:end w:w="70" w:type="dxa"/>
            </w:tcMar>
            <w:vAlign w:val="top"/>
          </w:tcPr>
          <w:p>
            <w:pPr>
              <w:spacing w:after="0"/>
            </w:pPr>
            <w:r/>
            <w:r>
              <w:rPr>
                <w:rFonts w:ascii="Liberation Sans" w:hAnsi="Liberation Sans"/>
                <w:color w:val="0F172A"/>
                <w:sz w:val="16"/>
              </w:rPr>
              <w:t>Present as hash lock material; stronger signed evidence is future work.</w:t>
            </w:r>
          </w:p>
        </w:tc>
      </w:tr>
      <w:tr>
        <w:tc>
          <w:tcPr>
            <w:tcW w:type="dxa" w:w="1872"/>
            <w:tcMar>
              <w:top w:w="60" w:type="dxa"/>
              <w:start w:w="70" w:type="dxa"/>
              <w:bottom w:w="60" w:type="dxa"/>
              <w:end w:w="70" w:type="dxa"/>
            </w:tcMar>
            <w:vAlign w:val="top"/>
          </w:tcPr>
          <w:p>
            <w:pPr>
              <w:spacing w:after="0"/>
            </w:pPr>
            <w:r/>
            <w:r>
              <w:rPr>
                <w:rFonts w:ascii="Liberation Sans" w:hAnsi="Liberation Sans"/>
                <w:color w:val="0F172A"/>
                <w:sz w:val="16"/>
              </w:rPr>
              <w:t>Policy</w:t>
            </w:r>
          </w:p>
        </w:tc>
        <w:tc>
          <w:tcPr>
            <w:tcW w:type="dxa" w:w="5040"/>
            <w:tcMar>
              <w:top w:w="60" w:type="dxa"/>
              <w:start w:w="70" w:type="dxa"/>
              <w:bottom w:w="60" w:type="dxa"/>
              <w:end w:w="70" w:type="dxa"/>
            </w:tcMar>
            <w:vAlign w:val="top"/>
          </w:tcPr>
          <w:p>
            <w:pPr>
              <w:spacing w:after="0"/>
            </w:pPr>
            <w:r/>
            <w:r>
              <w:rPr>
                <w:rFonts w:ascii="Liberation Sans" w:hAnsi="Liberation Sans"/>
                <w:color w:val="0F172A"/>
                <w:sz w:val="16"/>
              </w:rPr>
              <w:t>Accepts or denies state and authority requests.</w:t>
            </w:r>
          </w:p>
        </w:tc>
        <w:tc>
          <w:tcPr>
            <w:tcW w:type="dxa" w:w="2736"/>
            <w:tcMar>
              <w:top w:w="60" w:type="dxa"/>
              <w:start w:w="70" w:type="dxa"/>
              <w:bottom w:w="60" w:type="dxa"/>
              <w:end w:w="70" w:type="dxa"/>
            </w:tcMar>
            <w:vAlign w:val="top"/>
          </w:tcPr>
          <w:p>
            <w:pPr>
              <w:spacing w:after="0"/>
            </w:pPr>
            <w:r/>
            <w:r>
              <w:rPr>
                <w:rFonts w:ascii="Liberation Sans" w:hAnsi="Liberation Sans"/>
                <w:color w:val="0F172A"/>
                <w:sz w:val="16"/>
              </w:rPr>
              <w:t>Conservative; should fail closed.</w:t>
            </w:r>
          </w:p>
        </w:tc>
      </w:tr>
      <w:tr>
        <w:tc>
          <w:tcPr>
            <w:tcW w:type="dxa" w:w="1872"/>
            <w:tcMar>
              <w:top w:w="60" w:type="dxa"/>
              <w:start w:w="70" w:type="dxa"/>
              <w:bottom w:w="60" w:type="dxa"/>
              <w:end w:w="70" w:type="dxa"/>
            </w:tcMar>
            <w:vAlign w:val="top"/>
          </w:tcPr>
          <w:p>
            <w:pPr>
              <w:spacing w:after="0"/>
            </w:pPr>
            <w:r/>
            <w:r>
              <w:rPr>
                <w:rFonts w:ascii="Liberation Sans" w:hAnsi="Liberation Sans"/>
                <w:color w:val="0F172A"/>
                <w:sz w:val="16"/>
              </w:rPr>
              <w:t>Report</w:t>
            </w:r>
          </w:p>
        </w:tc>
        <w:tc>
          <w:tcPr>
            <w:tcW w:type="dxa" w:w="5040"/>
            <w:tcMar>
              <w:top w:w="60" w:type="dxa"/>
              <w:start w:w="70" w:type="dxa"/>
              <w:bottom w:w="60" w:type="dxa"/>
              <w:end w:w="70" w:type="dxa"/>
            </w:tcMar>
            <w:vAlign w:val="top"/>
          </w:tcPr>
          <w:p>
            <w:pPr>
              <w:spacing w:after="0"/>
            </w:pPr>
            <w:r/>
            <w:r>
              <w:rPr>
                <w:rFonts w:ascii="Liberation Sans" w:hAnsi="Liberation Sans"/>
                <w:color w:val="0F172A"/>
                <w:sz w:val="16"/>
              </w:rPr>
              <w:t>Human-readable and eventually machine-readable description of checks.</w:t>
            </w:r>
          </w:p>
        </w:tc>
        <w:tc>
          <w:tcPr>
            <w:tcW w:type="dxa" w:w="2736"/>
            <w:tcMar>
              <w:top w:w="60" w:type="dxa"/>
              <w:start w:w="70" w:type="dxa"/>
              <w:bottom w:w="60" w:type="dxa"/>
              <w:end w:w="70" w:type="dxa"/>
            </w:tcMar>
            <w:vAlign w:val="top"/>
          </w:tcPr>
          <w:p>
            <w:pPr>
              <w:spacing w:after="0"/>
            </w:pPr>
            <w:r/>
            <w:r>
              <w:rPr>
                <w:rFonts w:ascii="Liberation Sans" w:hAnsi="Liberation Sans"/>
                <w:color w:val="0F172A"/>
                <w:sz w:val="16"/>
              </w:rPr>
              <w:t>Report-only lane is central.</w:t>
            </w:r>
          </w:p>
        </w:tc>
      </w:tr>
      <w:tr>
        <w:tc>
          <w:tcPr>
            <w:tcW w:type="dxa" w:w="1872"/>
            <w:tcMar>
              <w:top w:w="60" w:type="dxa"/>
              <w:start w:w="70" w:type="dxa"/>
              <w:bottom w:w="60" w:type="dxa"/>
              <w:end w:w="70" w:type="dxa"/>
            </w:tcMar>
            <w:vAlign w:val="top"/>
          </w:tcPr>
          <w:p>
            <w:pPr>
              <w:spacing w:after="0"/>
            </w:pPr>
            <w:r/>
            <w:r>
              <w:rPr>
                <w:rFonts w:ascii="Liberation Sans" w:hAnsi="Liberation Sans"/>
                <w:color w:val="0F172A"/>
                <w:sz w:val="16"/>
              </w:rPr>
              <w:t>Receipt</w:t>
            </w:r>
          </w:p>
        </w:tc>
        <w:tc>
          <w:tcPr>
            <w:tcW w:type="dxa" w:w="5040"/>
            <w:tcMar>
              <w:top w:w="60" w:type="dxa"/>
              <w:start w:w="70" w:type="dxa"/>
              <w:bottom w:w="60" w:type="dxa"/>
              <w:end w:w="70" w:type="dxa"/>
            </w:tcMar>
            <w:vAlign w:val="top"/>
          </w:tcPr>
          <w:p>
            <w:pPr>
              <w:spacing w:after="0"/>
            </w:pPr>
            <w:r/>
            <w:r>
              <w:rPr>
                <w:rFonts w:ascii="Liberation Sans" w:hAnsi="Liberation Sans"/>
                <w:color w:val="0F172A"/>
                <w:sz w:val="16"/>
              </w:rPr>
              <w:t>Operator-facing record of installation or action.</w:t>
            </w:r>
          </w:p>
        </w:tc>
        <w:tc>
          <w:tcPr>
            <w:tcW w:type="dxa" w:w="2736"/>
            <w:tcMar>
              <w:top w:w="60" w:type="dxa"/>
              <w:start w:w="70" w:type="dxa"/>
              <w:bottom w:w="60" w:type="dxa"/>
              <w:end w:w="70" w:type="dxa"/>
            </w:tcMar>
            <w:vAlign w:val="top"/>
          </w:tcPr>
          <w:p>
            <w:pPr>
              <w:spacing w:after="0"/>
            </w:pPr>
            <w:r/>
            <w:r>
              <w:rPr>
                <w:rFonts w:ascii="Liberation Sans" w:hAnsi="Liberation Sans"/>
                <w:color w:val="0F172A"/>
                <w:sz w:val="16"/>
              </w:rPr>
              <w:t>Used by local installer evidence.</w:t>
            </w:r>
          </w:p>
        </w:tc>
      </w:tr>
      <w:tr>
        <w:tc>
          <w:tcPr>
            <w:tcW w:type="dxa" w:w="1872"/>
            <w:tcMar>
              <w:top w:w="60" w:type="dxa"/>
              <w:start w:w="70" w:type="dxa"/>
              <w:bottom w:w="60" w:type="dxa"/>
              <w:end w:w="70" w:type="dxa"/>
            </w:tcMar>
            <w:vAlign w:val="top"/>
          </w:tcPr>
          <w:p>
            <w:pPr>
              <w:spacing w:after="0"/>
            </w:pPr>
            <w:r/>
            <w:r>
              <w:rPr>
                <w:rFonts w:ascii="Liberation Sans" w:hAnsi="Liberation Sans"/>
                <w:color w:val="0F172A"/>
                <w:sz w:val="16"/>
              </w:rPr>
              <w:t>Panel</w:t>
            </w:r>
          </w:p>
        </w:tc>
        <w:tc>
          <w:tcPr>
            <w:tcW w:type="dxa" w:w="5040"/>
            <w:tcMar>
              <w:top w:w="60" w:type="dxa"/>
              <w:start w:w="70" w:type="dxa"/>
              <w:bottom w:w="60" w:type="dxa"/>
              <w:end w:w="70" w:type="dxa"/>
            </w:tcMar>
            <w:vAlign w:val="top"/>
          </w:tcPr>
          <w:p>
            <w:pPr>
              <w:spacing w:after="0"/>
            </w:pPr>
            <w:r/>
            <w:r>
              <w:rPr>
                <w:rFonts w:ascii="Liberation Sans" w:hAnsi="Liberation Sans"/>
                <w:color w:val="0F172A"/>
                <w:sz w:val="16"/>
              </w:rPr>
              <w:t>Human interface for plans, evidence, and guarded local actions.</w:t>
            </w:r>
          </w:p>
        </w:tc>
        <w:tc>
          <w:tcPr>
            <w:tcW w:type="dxa" w:w="2736"/>
            <w:tcMar>
              <w:top w:w="60" w:type="dxa"/>
              <w:start w:w="70" w:type="dxa"/>
              <w:bottom w:w="60" w:type="dxa"/>
              <w:end w:w="70" w:type="dxa"/>
            </w:tcMar>
            <w:vAlign w:val="top"/>
          </w:tcPr>
          <w:p>
            <w:pPr>
              <w:spacing w:after="0"/>
            </w:pPr>
            <w:r/>
            <w:r>
              <w:rPr>
                <w:rFonts w:ascii="Liberation Sans" w:hAnsi="Liberation Sans"/>
                <w:color w:val="0F172A"/>
                <w:sz w:val="16"/>
              </w:rPr>
              <w:t>Bridge/control surface, not a root authority.</w:t>
            </w:r>
          </w:p>
        </w:tc>
      </w:tr>
      <w:tr>
        <w:tc>
          <w:tcPr>
            <w:tcW w:type="dxa" w:w="1872"/>
            <w:tcMar>
              <w:top w:w="60" w:type="dxa"/>
              <w:start w:w="70" w:type="dxa"/>
              <w:bottom w:w="60" w:type="dxa"/>
              <w:end w:w="70" w:type="dxa"/>
            </w:tcMar>
            <w:vAlign w:val="top"/>
          </w:tcPr>
          <w:p>
            <w:pPr>
              <w:spacing w:after="0"/>
            </w:pPr>
            <w:r/>
            <w:r>
              <w:rPr>
                <w:rFonts w:ascii="Liberation Sans" w:hAnsi="Liberation Sans"/>
                <w:color w:val="0F172A"/>
                <w:sz w:val="16"/>
              </w:rPr>
              <w:t>Runtime handoff</w:t>
            </w:r>
          </w:p>
        </w:tc>
        <w:tc>
          <w:tcPr>
            <w:tcW w:type="dxa" w:w="5040"/>
            <w:tcMar>
              <w:top w:w="60" w:type="dxa"/>
              <w:start w:w="70" w:type="dxa"/>
              <w:bottom w:w="60" w:type="dxa"/>
              <w:end w:w="70" w:type="dxa"/>
            </w:tcMar>
            <w:vAlign w:val="top"/>
          </w:tcPr>
          <w:p>
            <w:pPr>
              <w:spacing w:after="0"/>
            </w:pPr>
            <w:r/>
            <w:r>
              <w:rPr>
                <w:rFonts w:ascii="Liberation Sans" w:hAnsi="Liberation Sans"/>
                <w:color w:val="0F172A"/>
                <w:sz w:val="16"/>
              </w:rPr>
              <w:t>Future metadata path for enforcement decisions.</w:t>
            </w:r>
          </w:p>
        </w:tc>
        <w:tc>
          <w:tcPr>
            <w:tcW w:type="dxa" w:w="2736"/>
            <w:tcMar>
              <w:top w:w="60" w:type="dxa"/>
              <w:start w:w="70" w:type="dxa"/>
              <w:bottom w:w="60" w:type="dxa"/>
              <w:end w:w="70" w:type="dxa"/>
            </w:tcMar>
            <w:vAlign w:val="top"/>
          </w:tcPr>
          <w:p>
            <w:pPr>
              <w:spacing w:after="0"/>
            </w:pPr>
            <w:r/>
            <w:r>
              <w:rPr>
                <w:rFonts w:ascii="Liberation Sans" w:hAnsi="Liberation Sans"/>
                <w:color w:val="0F172A"/>
                <w:sz w:val="16"/>
              </w:rPr>
              <w:t>Planned/research; not enforcement today.</w:t>
            </w:r>
          </w:p>
        </w:tc>
      </w:tr>
    </w:tbl>
    <w:p>
      <w:pPr>
        <w:pStyle w:val="BodyTight"/>
      </w:pPr>
    </w:p>
    <w:p>
      <w:pPr>
        <w:pStyle w:val="BodyTight"/>
      </w:pPr>
      <w:r>
        <w:rPr>
          <w:rFonts w:ascii="Liberation Serif" w:hAnsi="Liberation Serif"/>
        </w:rPr>
        <w:t>These objects are not just files. They are an attempt to structure trust. A manifest limits scope. A lock makes drift visible. A policy denies unsupported states. A report tells the operator what happened. A receipt records what was installed or would have been installed. The Panel makes these relations visible instead of hiding them behind a button.</w:t>
      </w:r>
    </w:p>
    <w:p>
      <w:pPr>
        <w:pStyle w:val="Heading2"/>
      </w:pPr>
      <w:r>
        <w:rPr>
          <w:rFonts w:ascii="Liberation Serif" w:hAnsi="Liberation Serif"/>
        </w:rPr>
        <w:t>2.2 Security as an effect system</w:t>
      </w:r>
    </w:p>
    <w:p>
      <w:pPr>
        <w:pStyle w:val="BodyTight"/>
      </w:pPr>
      <w:r>
        <w:rPr>
          <w:rFonts w:ascii="Liberation Serif" w:hAnsi="Liberation Serif"/>
        </w:rPr>
        <w:t>For a computer scientist, the natural abstraction is an effect system. A computation that only reads files has a different type from one that writes to a user prefix. A tool that writes receipts has a different type from one that modifies systemd. A UI that previews an install plan has a different type from one that uses root to mutate the host. Latticra can be described as an attempt to classify those effects and reject mismatches.</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E2E8F0"/>
            <w:tcMar>
              <w:top w:w="70" w:type="dxa"/>
              <w:start w:w="70" w:type="dxa"/>
              <w:bottom w:w="70" w:type="dxa"/>
              <w:end w:w="70" w:type="dxa"/>
            </w:tcMar>
            <w:vAlign w:val="center"/>
          </w:tcPr>
          <w:p>
            <w:r/>
            <w:r>
              <w:rPr>
                <w:rFonts w:ascii="Liberation Sans" w:hAnsi="Liberation Sans"/>
                <w:b/>
                <w:color w:val="0F172A"/>
                <w:sz w:val="17"/>
              </w:rPr>
              <w:t>Effect class</w:t>
            </w:r>
          </w:p>
        </w:tc>
        <w:tc>
          <w:tcPr>
            <w:tcW w:type="dxa" w:w="4608"/>
            <w:shd w:fill="E2E8F0"/>
            <w:tcMar>
              <w:top w:w="70" w:type="dxa"/>
              <w:start w:w="70" w:type="dxa"/>
              <w:bottom w:w="70" w:type="dxa"/>
              <w:end w:w="70" w:type="dxa"/>
            </w:tcMar>
            <w:vAlign w:val="center"/>
          </w:tcPr>
          <w:p>
            <w:r/>
            <w:r>
              <w:rPr>
                <w:rFonts w:ascii="Liberation Sans" w:hAnsi="Liberation Sans"/>
                <w:b/>
                <w:color w:val="0F172A"/>
                <w:sz w:val="17"/>
              </w:rPr>
              <w:t>Examples</w:t>
            </w:r>
          </w:p>
        </w:tc>
        <w:tc>
          <w:tcPr>
            <w:tcW w:type="dxa" w:w="2880"/>
            <w:shd w:fill="E2E8F0"/>
            <w:tcMar>
              <w:top w:w="70" w:type="dxa"/>
              <w:start w:w="70" w:type="dxa"/>
              <w:bottom w:w="70" w:type="dxa"/>
              <w:end w:w="70" w:type="dxa"/>
            </w:tcMar>
            <w:vAlign w:val="center"/>
          </w:tcPr>
          <w:p>
            <w:r/>
            <w:r>
              <w:rPr>
                <w:rFonts w:ascii="Liberation Sans" w:hAnsi="Liberation Sans"/>
                <w:b/>
                <w:color w:val="0F172A"/>
                <w:sz w:val="17"/>
              </w:rPr>
              <w:t>Allowed current interpretation</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ReadLocal</w:t>
            </w:r>
          </w:p>
        </w:tc>
        <w:tc>
          <w:tcPr>
            <w:tcW w:type="dxa" w:w="4608"/>
            <w:tcMar>
              <w:top w:w="60" w:type="dxa"/>
              <w:start w:w="70" w:type="dxa"/>
              <w:bottom w:w="60" w:type="dxa"/>
              <w:end w:w="70" w:type="dxa"/>
            </w:tcMar>
            <w:vAlign w:val="top"/>
          </w:tcPr>
          <w:p>
            <w:pPr>
              <w:spacing w:after="0"/>
            </w:pPr>
            <w:r/>
            <w:r>
              <w:rPr>
                <w:rFonts w:ascii="Liberation Sans" w:hAnsi="Liberation Sans"/>
                <w:color w:val="0F172A"/>
                <w:sz w:val="16"/>
              </w:rPr>
              <w:t>Read manifest, inspect project tree, read local config.</w:t>
            </w:r>
          </w:p>
        </w:tc>
        <w:tc>
          <w:tcPr>
            <w:tcW w:type="dxa" w:w="2880"/>
            <w:tcMar>
              <w:top w:w="60" w:type="dxa"/>
              <w:start w:w="70" w:type="dxa"/>
              <w:bottom w:w="60" w:type="dxa"/>
              <w:end w:w="70" w:type="dxa"/>
            </w:tcMar>
            <w:vAlign w:val="top"/>
          </w:tcPr>
          <w:p>
            <w:pPr>
              <w:spacing w:after="0"/>
            </w:pPr>
            <w:r/>
            <w:r>
              <w:rPr>
                <w:rFonts w:ascii="Liberation Sans" w:hAnsi="Liberation Sans"/>
                <w:color w:val="0F172A"/>
                <w:sz w:val="16"/>
              </w:rPr>
              <w:t>Allowed under declared scope.</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MeasureLocal</w:t>
            </w:r>
          </w:p>
        </w:tc>
        <w:tc>
          <w:tcPr>
            <w:tcW w:type="dxa" w:w="4608"/>
            <w:tcMar>
              <w:top w:w="60" w:type="dxa"/>
              <w:start w:w="70" w:type="dxa"/>
              <w:bottom w:w="60" w:type="dxa"/>
              <w:end w:w="70" w:type="dxa"/>
            </w:tcMar>
            <w:vAlign w:val="top"/>
          </w:tcPr>
          <w:p>
            <w:pPr>
              <w:spacing w:after="0"/>
            </w:pPr>
            <w:r/>
            <w:r>
              <w:rPr>
                <w:rFonts w:ascii="Liberation Sans" w:hAnsi="Liberation Sans"/>
                <w:color w:val="0F172A"/>
                <w:sz w:val="16"/>
              </w:rPr>
              <w:t>Hash files, compare lock baseline, count changes.</w:t>
            </w:r>
          </w:p>
        </w:tc>
        <w:tc>
          <w:tcPr>
            <w:tcW w:type="dxa" w:w="2880"/>
            <w:tcMar>
              <w:top w:w="60" w:type="dxa"/>
              <w:start w:w="70" w:type="dxa"/>
              <w:bottom w:w="60" w:type="dxa"/>
              <w:end w:w="70" w:type="dxa"/>
            </w:tcMar>
            <w:vAlign w:val="top"/>
          </w:tcPr>
          <w:p>
            <w:pPr>
              <w:spacing w:after="0"/>
            </w:pPr>
            <w:r/>
            <w:r>
              <w:rPr>
                <w:rFonts w:ascii="Liberation Sans" w:hAnsi="Liberation Sans"/>
                <w:color w:val="0F172A"/>
                <w:sz w:val="16"/>
              </w:rPr>
              <w:t>Allowed when report-only and read-only.</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WriteEvidence</w:t>
            </w:r>
          </w:p>
        </w:tc>
        <w:tc>
          <w:tcPr>
            <w:tcW w:type="dxa" w:w="4608"/>
            <w:tcMar>
              <w:top w:w="60" w:type="dxa"/>
              <w:start w:w="70" w:type="dxa"/>
              <w:bottom w:w="60" w:type="dxa"/>
              <w:end w:w="70" w:type="dxa"/>
            </w:tcMar>
            <w:vAlign w:val="top"/>
          </w:tcPr>
          <w:p>
            <w:pPr>
              <w:spacing w:after="0"/>
            </w:pPr>
            <w:r/>
            <w:r>
              <w:rPr>
                <w:rFonts w:ascii="Liberation Sans" w:hAnsi="Liberation Sans"/>
                <w:color w:val="0F172A"/>
                <w:sz w:val="16"/>
              </w:rPr>
              <w:t>Write report, plan, receipt, component marker.</w:t>
            </w:r>
          </w:p>
        </w:tc>
        <w:tc>
          <w:tcPr>
            <w:tcW w:type="dxa" w:w="2880"/>
            <w:tcMar>
              <w:top w:w="60" w:type="dxa"/>
              <w:start w:w="70" w:type="dxa"/>
              <w:bottom w:w="60" w:type="dxa"/>
              <w:end w:w="70" w:type="dxa"/>
            </w:tcMar>
            <w:vAlign w:val="top"/>
          </w:tcPr>
          <w:p>
            <w:pPr>
              <w:spacing w:after="0"/>
            </w:pPr>
            <w:r/>
            <w:r>
              <w:rPr>
                <w:rFonts w:ascii="Liberation Sans" w:hAnsi="Liberation Sans"/>
                <w:color w:val="0F172A"/>
                <w:sz w:val="16"/>
              </w:rPr>
              <w:t>Allowed when documented and local.</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UserPrefixMutation</w:t>
            </w:r>
          </w:p>
        </w:tc>
        <w:tc>
          <w:tcPr>
            <w:tcW w:type="dxa" w:w="4608"/>
            <w:tcMar>
              <w:top w:w="60" w:type="dxa"/>
              <w:start w:w="70" w:type="dxa"/>
              <w:bottom w:w="60" w:type="dxa"/>
              <w:end w:w="70" w:type="dxa"/>
            </w:tcMar>
            <w:vAlign w:val="top"/>
          </w:tcPr>
          <w:p>
            <w:pPr>
              <w:spacing w:after="0"/>
            </w:pPr>
            <w:r/>
            <w:r>
              <w:rPr>
                <w:rFonts w:ascii="Liberation Sans" w:hAnsi="Liberation Sans"/>
                <w:color w:val="0F172A"/>
                <w:sz w:val="16"/>
              </w:rPr>
              <w:t>Create files under a guarded user-local prefix.</w:t>
            </w:r>
          </w:p>
        </w:tc>
        <w:tc>
          <w:tcPr>
            <w:tcW w:type="dxa" w:w="2880"/>
            <w:tcMar>
              <w:top w:w="60" w:type="dxa"/>
              <w:start w:w="70" w:type="dxa"/>
              <w:bottom w:w="60" w:type="dxa"/>
              <w:end w:w="70" w:type="dxa"/>
            </w:tcMar>
            <w:vAlign w:val="top"/>
          </w:tcPr>
          <w:p>
            <w:pPr>
              <w:spacing w:after="0"/>
            </w:pPr>
            <w:r/>
            <w:r>
              <w:rPr>
                <w:rFonts w:ascii="Liberation Sans" w:hAnsi="Liberation Sans"/>
                <w:color w:val="0F172A"/>
                <w:sz w:val="16"/>
              </w:rPr>
              <w:t>Allowed only by guarded installer profile.</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NetworkOperation</w:t>
            </w:r>
          </w:p>
        </w:tc>
        <w:tc>
          <w:tcPr>
            <w:tcW w:type="dxa" w:w="4608"/>
            <w:tcMar>
              <w:top w:w="60" w:type="dxa"/>
              <w:start w:w="70" w:type="dxa"/>
              <w:bottom w:w="60" w:type="dxa"/>
              <w:end w:w="70" w:type="dxa"/>
            </w:tcMar>
            <w:vAlign w:val="top"/>
          </w:tcPr>
          <w:p>
            <w:pPr>
              <w:spacing w:after="0"/>
            </w:pPr>
            <w:r/>
            <w:r>
              <w:rPr>
                <w:rFonts w:ascii="Liberation Sans" w:hAnsi="Liberation Sans"/>
                <w:color w:val="0F172A"/>
                <w:sz w:val="16"/>
              </w:rPr>
              <w:t>Download, publish, call remote APIs.</w:t>
            </w:r>
          </w:p>
        </w:tc>
        <w:tc>
          <w:tcPr>
            <w:tcW w:type="dxa" w:w="2880"/>
            <w:tcMar>
              <w:top w:w="60" w:type="dxa"/>
              <w:start w:w="70" w:type="dxa"/>
              <w:bottom w:w="60" w:type="dxa"/>
              <w:end w:w="70" w:type="dxa"/>
            </w:tcMar>
            <w:vAlign w:val="top"/>
          </w:tcPr>
          <w:p>
            <w:pPr>
              <w:spacing w:after="0"/>
            </w:pPr>
            <w:r/>
            <w:r>
              <w:rPr>
                <w:rFonts w:ascii="Liberation Sans" w:hAnsi="Liberation Sans"/>
                <w:color w:val="0F172A"/>
                <w:sz w:val="16"/>
              </w:rPr>
              <w:t>Not a current authority lane.</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RootMutation</w:t>
            </w:r>
          </w:p>
        </w:tc>
        <w:tc>
          <w:tcPr>
            <w:tcW w:type="dxa" w:w="4608"/>
            <w:tcMar>
              <w:top w:w="60" w:type="dxa"/>
              <w:start w:w="70" w:type="dxa"/>
              <w:bottom w:w="60" w:type="dxa"/>
              <w:end w:w="70" w:type="dxa"/>
            </w:tcMar>
            <w:vAlign w:val="top"/>
          </w:tcPr>
          <w:p>
            <w:pPr>
              <w:spacing w:after="0"/>
            </w:pPr>
            <w:r/>
            <w:r>
              <w:rPr>
                <w:rFonts w:ascii="Liberation Sans" w:hAnsi="Liberation Sans"/>
                <w:color w:val="0F172A"/>
                <w:sz w:val="16"/>
              </w:rPr>
              <w:t>Install as root, modify /usr, services, kernel, SELinux.</w:t>
            </w:r>
          </w:p>
        </w:tc>
        <w:tc>
          <w:tcPr>
            <w:tcW w:type="dxa" w:w="2880"/>
            <w:tcMar>
              <w:top w:w="60" w:type="dxa"/>
              <w:start w:w="70" w:type="dxa"/>
              <w:bottom w:w="60" w:type="dxa"/>
              <w:end w:w="70" w:type="dxa"/>
            </w:tcMar>
            <w:vAlign w:val="top"/>
          </w:tcPr>
          <w:p>
            <w:pPr>
              <w:spacing w:after="0"/>
            </w:pPr>
            <w:r/>
            <w:r>
              <w:rPr>
                <w:rFonts w:ascii="Liberation Sans" w:hAnsi="Liberation Sans"/>
                <w:color w:val="0F172A"/>
                <w:sz w:val="16"/>
              </w:rPr>
              <w:t>Not a current authority lane.</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RuntimeEnforcement</w:t>
            </w:r>
          </w:p>
        </w:tc>
        <w:tc>
          <w:tcPr>
            <w:tcW w:type="dxa" w:w="4608"/>
            <w:tcMar>
              <w:top w:w="60" w:type="dxa"/>
              <w:start w:w="70" w:type="dxa"/>
              <w:bottom w:w="60" w:type="dxa"/>
              <w:end w:w="70" w:type="dxa"/>
            </w:tcMar>
            <w:vAlign w:val="top"/>
          </w:tcPr>
          <w:p>
            <w:pPr>
              <w:spacing w:after="0"/>
            </w:pPr>
            <w:r/>
            <w:r>
              <w:rPr>
                <w:rFonts w:ascii="Liberation Sans" w:hAnsi="Liberation Sans"/>
                <w:color w:val="0F172A"/>
                <w:sz w:val="16"/>
              </w:rPr>
              <w:t>Sandbox, block process, enforce isolation.</w:t>
            </w:r>
          </w:p>
        </w:tc>
        <w:tc>
          <w:tcPr>
            <w:tcW w:type="dxa" w:w="2880"/>
            <w:tcMar>
              <w:top w:w="60" w:type="dxa"/>
              <w:start w:w="70" w:type="dxa"/>
              <w:bottom w:w="60" w:type="dxa"/>
              <w:end w:w="70" w:type="dxa"/>
            </w:tcMar>
            <w:vAlign w:val="top"/>
          </w:tcPr>
          <w:p>
            <w:pPr>
              <w:spacing w:after="0"/>
            </w:pPr>
            <w:r/>
            <w:r>
              <w:rPr>
                <w:rFonts w:ascii="Liberation Sans" w:hAnsi="Liberation Sans"/>
                <w:color w:val="0F172A"/>
                <w:sz w:val="16"/>
              </w:rPr>
              <w:t>Future research; not currently claimed.</w:t>
            </w:r>
          </w:p>
        </w:tc>
      </w:tr>
    </w:tbl>
    <w:p>
      <w:pPr>
        <w:pStyle w:val="BodyTight"/>
      </w:pPr>
    </w:p>
    <w:p>
      <w:pPr>
        <w:pStyle w:val="Heading2"/>
      </w:pPr>
      <w:r>
        <w:rPr>
          <w:rFonts w:ascii="Liberation Serif" w:hAnsi="Liberation Serif"/>
        </w:rPr>
        <w:t>2.3 Why this matters</w:t>
      </w:r>
    </w:p>
    <w:p>
      <w:pPr>
        <w:pStyle w:val="BodyTight"/>
      </w:pPr>
      <w:r>
        <w:rPr>
          <w:rFonts w:ascii="Liberation Serif" w:hAnsi="Liberation Serif"/>
        </w:rPr>
        <w:t>Security systems often degrade when documentation, implementation, and authority drift apart. Developers add flags. Installers add convenience. UI buttons hide side effects. CI proves a narrow property while README text promises a broad one. Latticra can become valuable because it treats that drift as the primary enemy. The substrate exists to keep claims, tests, and effects synchronized.</w:t>
      </w:r>
    </w:p>
    <w:p>
      <w:pPr>
        <w:pStyle w:val="Heading1"/>
      </w:pPr>
      <w:r>
        <w:rPr>
          <w:rFonts w:ascii="Liberation Serif" w:hAnsi="Liberation Serif"/>
        </w:rPr>
        <w:t>Chapter 3. Current Evidence and Claim Ledger</w:t>
      </w:r>
    </w:p>
    <w:p>
      <w:pPr>
        <w:pStyle w:val="Lead"/>
      </w:pPr>
      <w:r>
        <w:rPr>
          <w:rFonts w:ascii="Liberation Serif" w:hAnsi="Liberation Serif"/>
        </w:rPr>
        <w:t>The strongest part of the project is not a large production guarantee. It is the explicit ledger of what exists, what is planned, and what must not be claimed yet.</w:t>
      </w:r>
    </w:p>
    <w:p>
      <w:pPr>
        <w:pStyle w:val="BodyTight"/>
      </w:pPr>
      <w:r>
        <w:rPr>
          <w:rFonts w:ascii="Liberation Serif" w:hAnsi="Liberation Serif"/>
        </w:rPr>
        <w:t>The Seal handbook states a current readiness posture: local report generation, manifest/hash baseline, policy regression, and Panel bridge planning are positive claims. Runtime enforcement, network operation, root installation, kernel enforcement, and production readiness are zero claims. That ledger should not be a footnote. It should be the core of the system.</w:t>
      </w:r>
    </w:p>
    <w:tbl>
      <w:tblPr>
        <w:tblStyle w:val="TableGrid"/>
        <w:tblW w:type="auto" w:w="0"/>
        <w:jc w:val="center"/>
        <w:tblLook w:firstColumn="1" w:firstRow="1" w:lastColumn="0" w:lastRow="0" w:noHBand="0" w:noVBand="1" w:val="04A0"/>
      </w:tblPr>
      <w:tblGrid>
        <w:gridCol w:w="3331"/>
        <w:gridCol w:w="3331"/>
        <w:gridCol w:w="3331"/>
      </w:tblGrid>
      <w:tr>
        <w:tc>
          <w:tcPr>
            <w:tcW w:type="dxa" w:w="2592"/>
            <w:shd w:fill="E2E8F0"/>
            <w:tcMar>
              <w:top w:w="70" w:type="dxa"/>
              <w:start w:w="70" w:type="dxa"/>
              <w:bottom w:w="70" w:type="dxa"/>
              <w:end w:w="70" w:type="dxa"/>
            </w:tcMar>
            <w:vAlign w:val="center"/>
          </w:tcPr>
          <w:p>
            <w:r/>
            <w:r>
              <w:rPr>
                <w:rFonts w:ascii="Liberation Sans" w:hAnsi="Liberation Sans"/>
                <w:b/>
                <w:color w:val="0F172A"/>
                <w:sz w:val="17"/>
              </w:rPr>
              <w:t>Capability or claim</w:t>
            </w:r>
          </w:p>
        </w:tc>
        <w:tc>
          <w:tcPr>
            <w:tcW w:type="dxa" w:w="2952"/>
            <w:shd w:fill="E2E8F0"/>
            <w:tcMar>
              <w:top w:w="70" w:type="dxa"/>
              <w:start w:w="70" w:type="dxa"/>
              <w:bottom w:w="70" w:type="dxa"/>
              <w:end w:w="70" w:type="dxa"/>
            </w:tcMar>
            <w:vAlign w:val="center"/>
          </w:tcPr>
          <w:p>
            <w:r/>
            <w:r>
              <w:rPr>
                <w:rFonts w:ascii="Liberation Sans" w:hAnsi="Liberation Sans"/>
                <w:b/>
                <w:color w:val="0F172A"/>
                <w:sz w:val="17"/>
              </w:rPr>
              <w:t>Status in this edition</w:t>
            </w:r>
          </w:p>
        </w:tc>
        <w:tc>
          <w:tcPr>
            <w:tcW w:type="dxa" w:w="4176"/>
            <w:shd w:fill="E2E8F0"/>
            <w:tcMar>
              <w:top w:w="70" w:type="dxa"/>
              <w:start w:w="70" w:type="dxa"/>
              <w:bottom w:w="70" w:type="dxa"/>
              <w:end w:w="70" w:type="dxa"/>
            </w:tcMar>
            <w:vAlign w:val="center"/>
          </w:tcPr>
          <w:p>
            <w:r/>
            <w:r>
              <w:rPr>
                <w:rFonts w:ascii="Liberation Sans" w:hAnsi="Liberation Sans"/>
                <w:b/>
                <w:color w:val="0F172A"/>
                <w:sz w:val="17"/>
              </w:rPr>
              <w:t>How to talk about it</w:t>
            </w:r>
          </w:p>
        </w:tc>
      </w:tr>
      <w:tr>
        <w:tc>
          <w:tcPr>
            <w:tcW w:type="dxa" w:w="259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Local report generation</w:t>
            </w:r>
          </w:p>
        </w:tc>
        <w:tc>
          <w:tcPr>
            <w:tcW w:type="dxa" w:w="295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Current evidence-bound capability</w:t>
            </w:r>
          </w:p>
        </w:tc>
        <w:tc>
          <w:tcPr>
            <w:tcW w:type="dxa" w:w="417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Seal can generate local evidence reports.</w:t>
            </w:r>
          </w:p>
        </w:tc>
      </w:tr>
      <w:tr>
        <w:tc>
          <w:tcPr>
            <w:tcW w:type="dxa" w:w="259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Manifest/hash baseline</w:t>
            </w:r>
          </w:p>
        </w:tc>
        <w:tc>
          <w:tcPr>
            <w:tcW w:type="dxa" w:w="295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Current evidence-bound capability</w:t>
            </w:r>
          </w:p>
        </w:tc>
        <w:tc>
          <w:tcPr>
            <w:tcW w:type="dxa" w:w="417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Seal can compare local evidence against declared expectations.</w:t>
            </w:r>
          </w:p>
        </w:tc>
      </w:tr>
      <w:tr>
        <w:tc>
          <w:tcPr>
            <w:tcW w:type="dxa" w:w="259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Policy regression lane</w:t>
            </w:r>
          </w:p>
        </w:tc>
        <w:tc>
          <w:tcPr>
            <w:tcW w:type="dxa" w:w="295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Current evidence-bound capability</w:t>
            </w:r>
          </w:p>
        </w:tc>
        <w:tc>
          <w:tcPr>
            <w:tcW w:type="dxa" w:w="417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Denied states are part of the test story.</w:t>
            </w:r>
          </w:p>
        </w:tc>
      </w:tr>
      <w:tr>
        <w:tc>
          <w:tcPr>
            <w:tcW w:type="dxa" w:w="259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Panel bridge</w:t>
            </w:r>
          </w:p>
        </w:tc>
        <w:tc>
          <w:tcPr>
            <w:tcW w:type="dxa" w:w="295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Planning plus installer/control-surface evidence</w:t>
            </w:r>
          </w:p>
        </w:tc>
        <w:tc>
          <w:tcPr>
            <w:tcW w:type="dxa" w:w="417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Panel should surface reports and authority state safely.</w:t>
            </w:r>
          </w:p>
        </w:tc>
      </w:tr>
      <w:tr>
        <w:tc>
          <w:tcPr>
            <w:tcW w:type="dxa" w:w="259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Guarded local-prefix installer</w:t>
            </w:r>
          </w:p>
        </w:tc>
        <w:tc>
          <w:tcPr>
            <w:tcW w:type="dxa" w:w="295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Evidence from local installer work</w:t>
            </w:r>
          </w:p>
        </w:tc>
        <w:tc>
          <w:tcPr>
            <w:tcW w:type="dxa" w:w="417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Installer can operate as user-local, guarded, and receipt-generating.</w:t>
            </w:r>
          </w:p>
        </w:tc>
      </w:tr>
      <w:tr>
        <w:tc>
          <w:tcPr>
            <w:tcW w:type="dxa" w:w="259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Runtime enforcement</w:t>
            </w:r>
          </w:p>
        </w:tc>
        <w:tc>
          <w:tcPr>
            <w:tcW w:type="dxa" w:w="295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Not current</w:t>
            </w:r>
          </w:p>
        </w:tc>
        <w:tc>
          <w:tcPr>
            <w:tcW w:type="dxa" w:w="417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Future handoff metadata only until enforcement exists and is tested.</w:t>
            </w:r>
          </w:p>
        </w:tc>
      </w:tr>
      <w:tr>
        <w:tc>
          <w:tcPr>
            <w:tcW w:type="dxa" w:w="259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Network authority</w:t>
            </w:r>
          </w:p>
        </w:tc>
        <w:tc>
          <w:tcPr>
            <w:tcW w:type="dxa" w:w="295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Not current</w:t>
            </w:r>
          </w:p>
        </w:tc>
        <w:tc>
          <w:tcPr>
            <w:tcW w:type="dxa" w:w="417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Do not claim network authority.</w:t>
            </w:r>
          </w:p>
        </w:tc>
      </w:tr>
      <w:tr>
        <w:tc>
          <w:tcPr>
            <w:tcW w:type="dxa" w:w="259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Root authority</w:t>
            </w:r>
          </w:p>
        </w:tc>
        <w:tc>
          <w:tcPr>
            <w:tcW w:type="dxa" w:w="295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Not current</w:t>
            </w:r>
          </w:p>
        </w:tc>
        <w:tc>
          <w:tcPr>
            <w:tcW w:type="dxa" w:w="417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Do not claim root installation.</w:t>
            </w:r>
          </w:p>
        </w:tc>
      </w:tr>
      <w:tr>
        <w:tc>
          <w:tcPr>
            <w:tcW w:type="dxa" w:w="259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Kernel/systemd/SELinux integration</w:t>
            </w:r>
          </w:p>
        </w:tc>
        <w:tc>
          <w:tcPr>
            <w:tcW w:type="dxa" w:w="295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Not current</w:t>
            </w:r>
          </w:p>
        </w:tc>
        <w:tc>
          <w:tcPr>
            <w:tcW w:type="dxa" w:w="417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Research or future integration only.</w:t>
            </w:r>
          </w:p>
        </w:tc>
      </w:tr>
      <w:tr>
        <w:tc>
          <w:tcPr>
            <w:tcW w:type="dxa" w:w="259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Production host security</w:t>
            </w:r>
          </w:p>
        </w:tc>
        <w:tc>
          <w:tcPr>
            <w:tcW w:type="dxa" w:w="2952"/>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Not current</w:t>
            </w:r>
          </w:p>
        </w:tc>
        <w:tc>
          <w:tcPr>
            <w:tcW w:type="dxa" w:w="417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Do not claim host protection, malware prevention, or ransomware prevention.</w:t>
            </w:r>
          </w:p>
        </w:tc>
      </w:tr>
      <w:tr>
        <w:tc>
          <w:tcPr>
            <w:tcW w:type="dxa" w:w="2592"/>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Nucleus task boundary</w:t>
            </w:r>
          </w:p>
        </w:tc>
        <w:tc>
          <w:tcPr>
            <w:tcW w:type="dxa" w:w="2952"/>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Report-only task records with no-effect alignment and execution/effect/runtime labels.</w:t>
            </w:r>
          </w:p>
        </w:tc>
        <w:tc>
          <w:tcPr>
            <w:tcW w:type="dxa" w:w="4176"/>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Say it classifies and reports task-shaped requests; do not say it executes tasks.</w:t>
            </w:r>
          </w:p>
        </w:tc>
      </w:tr>
      <w:tr>
        <w:tc>
          <w:tcPr>
            <w:tcW w:type="dxa" w:w="2592"/>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Nadia offline AI</w:t>
            </w:r>
          </w:p>
        </w:tc>
        <w:tc>
          <w:tcPr>
            <w:tcW w:type="dxa" w:w="2952"/>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Stage-0 through Stage-27 contract metadata; no model runtime, tokenization, context-window assembly, inference, dialogue, or tools.</w:t>
            </w:r>
          </w:p>
        </w:tc>
        <w:tc>
          <w:tcPr>
            <w:tcW w:type="dxa" w:w="4176"/>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Say it is an offline-AI contract ladder; do not say it is an active AI assistant.</w:t>
            </w:r>
          </w:p>
        </w:tc>
      </w:tr>
      <w:tr>
        <w:tc>
          <w:tcPr>
            <w:tcW w:type="dxa" w:w="2592"/>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macOS app bundle lane</w:t>
            </w:r>
          </w:p>
        </w:tc>
        <w:tc>
          <w:tcPr>
            <w:tcW w:type="dxa" w:w="2952"/>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No-effect user-local app-bundle writer dry-run, commit gate, reset/uninstall dry-run contract, and verification-transcript contract.</w:t>
            </w:r>
          </w:p>
        </w:tc>
        <w:tc>
          <w:tcPr>
            <w:tcW w:type="dxa" w:w="4176"/>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Say macOS install evidence is being specified; do not say a macOS installer exists.</w:t>
            </w:r>
          </w:p>
        </w:tc>
      </w:tr>
      <w:tr>
        <w:tc>
          <w:tcPr>
            <w:tcW w:type="dxa" w:w="2592"/>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Fedora RPM lifecycle lane</w:t>
            </w:r>
          </w:p>
        </w:tc>
        <w:tc>
          <w:tcPr>
            <w:tcW w:type="dxa" w:w="2952"/>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Controlled installroot/disposable-VM RPM evidence and package validation records.</w:t>
            </w:r>
          </w:p>
        </w:tc>
        <w:tc>
          <w:tcPr>
            <w:tcW w:type="dxa" w:w="4176"/>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Say bounded RPM lifecycle evidence exists; do not say Fedora approval or daily-driver readiness.</w:t>
            </w:r>
          </w:p>
        </w:tc>
      </w:tr>
      <w:tr>
        <w:tc>
          <w:tcPr>
            <w:tcW w:type="dxa" w:w="2592"/>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Production installer readiness</w:t>
            </w:r>
          </w:p>
        </w:tc>
        <w:tc>
          <w:tcPr>
            <w:tcW w:type="dxa" w:w="2952"/>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Contract-only readiness gate with required future artifacts, transcripts, signatures, rollback, and multi-VM evidence.</w:t>
            </w:r>
          </w:p>
        </w:tc>
        <w:tc>
          <w:tcPr>
            <w:tcW w:type="dxa" w:w="4176"/>
            <w:tcMar>
              <w:top w:w="60" w:type="dxa"/>
              <w:start w:w="70" w:type="dxa"/>
              <w:bottom w:w="60" w:type="dxa"/>
              <w:end w:w="70" w:type="dxa"/>
            </w:tcMar>
            <w:vAlign w:val="top"/>
          </w:tcPr>
          <w:p>
            <w:pPr>
              <w:spacing w:before="0" w:after="0" w:line="240" w:lineRule="auto"/>
            </w:pPr>
            <w:r>
              <w:rPr>
                <w:rFonts w:ascii="Liberation Sans" w:hAnsi="Liberation Sans" w:eastAsia="Liberation Sans"/>
                <w:sz w:val="16"/>
              </w:rPr>
              <w:t>Say readiness is gated and currently false; do not say Latticra is production installable.</w:t>
            </w:r>
          </w:p>
        </w:tc>
      </w:tr>
      <w:tr>
        <w:tc>
          <w:tcPr>
            <w:tcW w:type="dxa" w:w="3331"/>
          </w:tcPr>
          <w:p>
            <w:pPr>
              <w:spacing w:before="0" w:after="0" w:line="240" w:lineRule="auto"/>
            </w:pPr>
            <w:r>
              <w:rPr>
                <w:rFonts w:ascii="Liberation Sans" w:hAnsi="Liberation Sans" w:eastAsia="Liberation Sans"/>
                <w:sz w:val="16"/>
              </w:rPr>
              <w:t>Seal signed request metadata</w:t>
            </w:r>
          </w:p>
        </w:tc>
        <w:tc>
          <w:tcPr>
            <w:tcW w:type="dxa" w:w="3331"/>
          </w:tcPr>
          <w:p>
            <w:pPr>
              <w:spacing w:before="0" w:after="0" w:line="240" w:lineRule="auto"/>
            </w:pPr>
            <w:r>
              <w:rPr>
                <w:rFonts w:ascii="Liberation Sans" w:hAnsi="Liberation Sans" w:eastAsia="Liberation Sans"/>
                <w:sz w:val="16"/>
              </w:rPr>
              <w:t>Report-only metadata; signing and verification unsupported.</w:t>
            </w:r>
          </w:p>
        </w:tc>
        <w:tc>
          <w:tcPr>
            <w:tcW w:type="dxa" w:w="3331"/>
          </w:tcPr>
          <w:p>
            <w:pPr>
              <w:spacing w:before="0" w:after="0" w:line="240" w:lineRule="auto"/>
            </w:pPr>
            <w:r>
              <w:rPr>
                <w:rFonts w:ascii="Liberation Sans" w:hAnsi="Liberation Sans" w:eastAsia="Liberation Sans"/>
                <w:sz w:val="16"/>
              </w:rPr>
              <w:t>Say Seal records signed-request vocabulary; do not say it signs, verifies, enforces, or trusts requests.</w:t>
            </w:r>
          </w:p>
        </w:tc>
      </w:tr>
      <w:tr>
        <w:tc>
          <w:tcPr>
            <w:tcW w:type="dxa" w:w="3331"/>
          </w:tcPr>
          <w:p>
            <w:pPr>
              <w:spacing w:before="0" w:after="0" w:line="240" w:lineRule="auto"/>
            </w:pPr>
            <w:r>
              <w:rPr>
                <w:rFonts w:ascii="Liberation Sans" w:hAnsi="Liberation Sans" w:eastAsia="Liberation Sans"/>
                <w:sz w:val="16"/>
              </w:rPr>
              <w:t>Seal verification receipt and crypto backend metadata</w:t>
            </w:r>
          </w:p>
        </w:tc>
        <w:tc>
          <w:tcPr>
            <w:tcW w:type="dxa" w:w="3331"/>
          </w:tcPr>
          <w:p>
            <w:pPr>
              <w:spacing w:before="0" w:after="0" w:line="240" w:lineRule="auto"/>
            </w:pPr>
            <w:r>
              <w:rPr>
                <w:rFonts w:ascii="Liberation Sans" w:hAnsi="Liberation Sans" w:eastAsia="Liberation Sans"/>
                <w:sz w:val="16"/>
              </w:rPr>
              <w:t>Baseline receipt/backend metadata remains unverified or unsupported until a later verify-only result is introduced.</w:t>
            </w:r>
          </w:p>
        </w:tc>
        <w:tc>
          <w:tcPr>
            <w:tcW w:type="dxa" w:w="3331"/>
          </w:tcPr>
          <w:p>
            <w:pPr>
              <w:spacing w:before="0" w:after="0" w:line="240" w:lineRule="auto"/>
            </w:pPr>
            <w:r>
              <w:rPr>
                <w:rFonts w:ascii="Liberation Sans" w:hAnsi="Liberation Sans" w:eastAsia="Liberation Sans"/>
                <w:sz w:val="16"/>
              </w:rPr>
              <w:t>Say the predecessor boundary is specified; do not treat backend metadata alone as cryptographic verification.</w:t>
            </w:r>
          </w:p>
        </w:tc>
      </w:tr>
      <w:tr>
        <w:tc>
          <w:tcPr>
            <w:tcW w:type="dxa" w:w="3331"/>
          </w:tcPr>
          <w:p>
            <w:pPr>
              <w:spacing w:before="0" w:after="0" w:line="240" w:lineRule="auto"/>
            </w:pPr>
            <w:r>
              <w:rPr>
                <w:rFonts w:ascii="Liberation Sans" w:hAnsi="Liberation Sans" w:eastAsia="Liberation Sans"/>
                <w:sz w:val="16"/>
              </w:rPr>
              <w:t>Seal capability and effect gates</w:t>
            </w:r>
          </w:p>
        </w:tc>
        <w:tc>
          <w:tcPr>
            <w:tcW w:type="dxa" w:w="3331"/>
          </w:tcPr>
          <w:p>
            <w:pPr>
              <w:spacing w:before="0" w:after="0" w:line="240" w:lineRule="auto"/>
            </w:pPr>
            <w:r>
              <w:rPr>
                <w:rFonts w:ascii="Liberation Sans" w:hAnsi="Liberation Sans" w:eastAsia="Liberation Sans"/>
                <w:sz w:val="16"/>
              </w:rPr>
              <w:t>Denied-by-default metadata with gate_allowed=0, effect_allowed=0, and runtime_authority_granted=0.</w:t>
            </w:r>
          </w:p>
        </w:tc>
        <w:tc>
          <w:tcPr>
            <w:tcW w:type="dxa" w:w="3331"/>
          </w:tcPr>
          <w:p>
            <w:pPr>
              <w:spacing w:before="0" w:after="0" w:line="240" w:lineRule="auto"/>
            </w:pPr>
            <w:r>
              <w:rPr>
                <w:rFonts w:ascii="Liberation Sans" w:hAnsi="Liberation Sans" w:eastAsia="Liberation Sans"/>
                <w:sz w:val="16"/>
              </w:rPr>
              <w:t>Say gates and decisions preserve non-effects; do not say they enforce capabilities or perform host effects.</w:t>
            </w:r>
          </w:p>
        </w:tc>
      </w:tr>
      <w:tr>
        <w:tc>
          <w:tcPr>
            <w:tcW w:type="dxa" w:w="3331"/>
          </w:tcPr>
          <w:p>
            <w:pPr>
              <w:spacing w:before="0" w:after="0" w:line="240" w:lineRule="auto"/>
            </w:pPr>
            <w:r>
              <w:rPr>
                <w:rFonts w:ascii="Liberation Sans" w:hAnsi="Liberation Sans" w:eastAsia="Liberation Sans"/>
                <w:sz w:val="16"/>
              </w:rPr>
              <w:t>Seal Ed25519 verify-only result</w:t>
            </w:r>
          </w:p>
        </w:tc>
        <w:tc>
          <w:tcPr>
            <w:tcW w:type="dxa" w:w="3331"/>
          </w:tcPr>
          <w:p>
            <w:pPr>
              <w:spacing w:before="0" w:after="0" w:line="240" w:lineRule="auto"/>
            </w:pPr>
            <w:r>
              <w:rPr>
                <w:rFonts w:ascii="Liberation Sans" w:hAnsi="Liberation Sans" w:eastAsia="Liberation Sans"/>
                <w:sz w:val="16"/>
              </w:rPr>
              <w:t>Local provider-backed verification of caller-supplied message, public key, and signature bytes; authority-neutral.</w:t>
            </w:r>
          </w:p>
        </w:tc>
        <w:tc>
          <w:tcPr>
            <w:tcW w:type="dxa" w:w="3331"/>
          </w:tcPr>
          <w:p>
            <w:pPr>
              <w:spacing w:before="0" w:after="0" w:line="240" w:lineRule="auto"/>
            </w:pPr>
            <w:r>
              <w:rPr>
                <w:rFonts w:ascii="Liberation Sans" w:hAnsi="Liberation Sans" w:eastAsia="Liberation Sans"/>
                <w:sz w:val="16"/>
              </w:rPr>
              <w:t>Say local Ed25519 verify-only evidence exists; do not claim signing, trust stores, revocation, production crypto, or authority.</w:t>
            </w:r>
          </w:p>
        </w:tc>
      </w:tr>
      <w:tr>
        <w:tc>
          <w:tcPr>
            <w:tcW w:type="dxa" w:w="3331"/>
          </w:tcPr>
          <w:p>
            <w:pPr>
              <w:spacing w:before="0" w:after="0" w:line="240" w:lineRule="auto"/>
            </w:pPr>
            <w:r>
              <w:rPr>
                <w:rFonts w:ascii="Liberation Sans" w:hAnsi="Liberation Sans" w:eastAsia="Liberation Sans"/>
                <w:sz w:val="16"/>
              </w:rPr>
              <w:t>Seal verified receipt promotion</w:t>
            </w:r>
          </w:p>
        </w:tc>
        <w:tc>
          <w:tcPr>
            <w:tcW w:type="dxa" w:w="3331"/>
          </w:tcPr>
          <w:p>
            <w:pPr>
              <w:spacing w:before="0" w:after="0" w:line="240" w:lineRule="auto"/>
            </w:pPr>
            <w:r>
              <w:rPr>
                <w:rFonts w:ascii="Liberation Sans" w:hAnsi="Liberation Sans" w:eastAsia="Liberation Sans"/>
                <w:sz w:val="16"/>
              </w:rPr>
              <w:t>Successful verify-only results can be promoted into verified receipt metadata with authority still zero.</w:t>
            </w:r>
          </w:p>
        </w:tc>
        <w:tc>
          <w:tcPr>
            <w:tcW w:type="dxa" w:w="3331"/>
          </w:tcPr>
          <w:p>
            <w:pPr>
              <w:spacing w:before="0" w:after="0" w:line="240" w:lineRule="auto"/>
            </w:pPr>
            <w:r>
              <w:rPr>
                <w:rFonts w:ascii="Liberation Sans" w:hAnsi="Liberation Sans" w:eastAsia="Liberation Sans"/>
                <w:sz w:val="16"/>
              </w:rPr>
              <w:t>Say evidence promotion; do not say permission promotion, capability authorization, effects, or runtime handoff.</w:t>
            </w:r>
          </w:p>
        </w:tc>
      </w:tr>
      <w:tr>
        <w:tc>
          <w:tcPr>
            <w:tcW w:type="dxa" w:w="3331"/>
          </w:tcPr>
          <w:p>
            <w:pPr>
              <w:spacing w:before="0" w:after="0" w:line="240" w:lineRule="auto"/>
            </w:pPr>
            <w:r>
              <w:rPr>
                <w:rFonts w:ascii="Liberation Sans" w:hAnsi="Liberation Sans" w:eastAsia="Liberation Sans"/>
                <w:sz w:val="16"/>
              </w:rPr>
              <w:t>Seal verified capability gate</w:t>
            </w:r>
          </w:p>
        </w:tc>
        <w:tc>
          <w:tcPr>
            <w:tcW w:type="dxa" w:w="3331"/>
          </w:tcPr>
          <w:p>
            <w:pPr>
              <w:spacing w:before="0" w:after="0" w:line="240" w:lineRule="auto"/>
            </w:pPr>
            <w:r>
              <w:rPr>
                <w:rFonts w:ascii="Liberation Sans" w:hAnsi="Liberation Sans" w:eastAsia="Liberation Sans"/>
                <w:sz w:val="16"/>
              </w:rPr>
              <w:t>Verified receipt metadata can pass a narrow report/evaluate metadata gate with gate_allowed=1 and no effects.</w:t>
            </w:r>
          </w:p>
        </w:tc>
        <w:tc>
          <w:tcPr>
            <w:tcW w:type="dxa" w:w="3331"/>
          </w:tcPr>
          <w:p>
            <w:pPr>
              <w:spacing w:before="0" w:after="0" w:line="240" w:lineRule="auto"/>
            </w:pPr>
            <w:r>
              <w:rPr>
                <w:rFonts w:ascii="Liberation Sans" w:hAnsi="Liberation Sans" w:eastAsia="Liberation Sans"/>
                <w:sz w:val="16"/>
              </w:rPr>
              <w:t>Say metadata-only gate evaluation; do not say capability enforcement, effect execution, or runtime permission.</w:t>
            </w:r>
          </w:p>
        </w:tc>
      </w:tr>
      <w:tr>
        <w:tc>
          <w:tcPr>
            <w:tcW w:type="dxa" w:w="3331"/>
          </w:tcPr>
          <w:p>
            <w:r>
              <w:rPr>
                <w:rFonts w:ascii="Liberation Sans" w:hAnsi="Liberation Sans"/>
                <w:sz w:val="16"/>
              </w:rPr>
              <w:t>Seal verified effect decision</w:t>
            </w:r>
          </w:p>
        </w:tc>
        <w:tc>
          <w:tcPr>
            <w:tcW w:type="dxa" w:w="3331"/>
          </w:tcPr>
          <w:p>
            <w:r>
              <w:rPr>
                <w:rFonts w:ascii="Liberation Sans" w:hAnsi="Liberation Sans"/>
                <w:sz w:val="16"/>
              </w:rPr>
              <w:t>Allowed verified gate metadata can classify report/evaluate requests with effect_allowed=1 while no effect is performed.</w:t>
            </w:r>
          </w:p>
        </w:tc>
        <w:tc>
          <w:tcPr>
            <w:tcW w:type="dxa" w:w="3331"/>
          </w:tcPr>
          <w:p>
            <w:r>
              <w:rPr>
                <w:rFonts w:ascii="Liberation Sans" w:hAnsi="Liberation Sans"/>
                <w:sz w:val="16"/>
              </w:rPr>
              <w:t>Say effect classification metadata; do not say effect execution, host effects, capability enforcement, or runtime permission.</w:t>
            </w:r>
          </w:p>
        </w:tc>
      </w:tr>
      <w:tr>
        <w:tc>
          <w:tcPr>
            <w:tcW w:type="dxa" w:w="3331"/>
          </w:tcPr>
          <w:p>
            <w:r>
              <w:rPr>
                <w:rFonts w:ascii="Liberation Sans" w:hAnsi="Liberation Sans"/>
                <w:sz w:val="16"/>
              </w:rPr>
              <w:t>Seal runtime handoff evaluation</w:t>
            </w:r>
          </w:p>
        </w:tc>
        <w:tc>
          <w:tcPr>
            <w:tcW w:type="dxa" w:w="3331"/>
          </w:tcPr>
          <w:p>
            <w:r>
              <w:rPr>
                <w:rFonts w:ascii="Liberation Sans" w:hAnsi="Liberation Sans"/>
                <w:sz w:val="16"/>
              </w:rPr>
              <w:t>Allowed metadata-only effect decisions can become handoff_eligible=1 with no handoff performed.</w:t>
            </w:r>
          </w:p>
        </w:tc>
        <w:tc>
          <w:tcPr>
            <w:tcW w:type="dxa" w:w="3331"/>
          </w:tcPr>
          <w:p>
            <w:r>
              <w:rPr>
                <w:rFonts w:ascii="Liberation Sans" w:hAnsi="Liberation Sans"/>
                <w:sz w:val="16"/>
              </w:rPr>
              <w:t>Say handoff eligibility classification; do not say runtime handoff execution or runtime authority.</w:t>
            </w:r>
          </w:p>
        </w:tc>
      </w:tr>
      <w:tr>
        <w:tc>
          <w:tcPr>
            <w:tcW w:type="dxa" w:w="3331"/>
          </w:tcPr>
          <w:p>
            <w:r>
              <w:rPr>
                <w:rFonts w:ascii="Liberation Sans" w:hAnsi="Liberation Sans"/>
                <w:sz w:val="16"/>
              </w:rPr>
              <w:t>Seal runtime handoff report</w:t>
            </w:r>
          </w:p>
        </w:tc>
        <w:tc>
          <w:tcPr>
            <w:tcW w:type="dxa" w:w="3331"/>
          </w:tcPr>
          <w:p>
            <w:r>
              <w:rPr>
                <w:rFonts w:ascii="Liberation Sans" w:hAnsi="Liberation Sans"/>
                <w:sz w:val="16"/>
              </w:rPr>
              <w:t>Eligible handoff metadata can become report_ready=1 with no runtime handoff or effect execution.</w:t>
            </w:r>
          </w:p>
        </w:tc>
        <w:tc>
          <w:tcPr>
            <w:tcW w:type="dxa" w:w="3331"/>
          </w:tcPr>
          <w:p>
            <w:r>
              <w:rPr>
                <w:rFonts w:ascii="Liberation Sans" w:hAnsi="Liberation Sans"/>
                <w:sz w:val="16"/>
              </w:rPr>
              <w:t>Say report-readiness metadata; do not say runtime bridge, enforcement, or host/network behavior.</w:t>
            </w:r>
          </w:p>
        </w:tc>
      </w:tr>
      <w:tr>
        <w:tc>
          <w:tcPr>
            <w:tcW w:type="dxa" w:w="3331"/>
          </w:tcPr>
          <w:p>
            <w:r>
              <w:rPr>
                <w:rFonts w:ascii="Liberation Sans" w:hAnsi="Liberation Sans"/>
                <w:sz w:val="16"/>
              </w:rPr>
              <w:t>Seal report envelope</w:t>
            </w:r>
          </w:p>
        </w:tc>
        <w:tc>
          <w:tcPr>
            <w:tcW w:type="dxa" w:w="3331"/>
          </w:tcPr>
          <w:p>
            <w:r>
              <w:rPr>
                <w:rFonts w:ascii="Liberation Sans" w:hAnsi="Liberation Sans"/>
                <w:sz w:val="16"/>
              </w:rPr>
              <w:t>Ready runtime-handoff report metadata can become envelope_ready=1 while unsigned and object-unsealed.</w:t>
            </w:r>
          </w:p>
        </w:tc>
        <w:tc>
          <w:tcPr>
            <w:tcW w:type="dxa" w:w="3331"/>
          </w:tcPr>
          <w:p>
            <w:r>
              <w:rPr>
                <w:rFonts w:ascii="Liberation Sans" w:hAnsi="Liberation Sans"/>
                <w:sz w:val="16"/>
              </w:rPr>
              <w:t>Say envelope classification metadata; do not say signing, object sealing, runtime handoff, or authority.</w:t>
            </w:r>
          </w:p>
        </w:tc>
      </w:tr>
      <w:tr>
        <w:tc>
          <w:tcPr>
            <w:tcW w:type="dxa" w:w="3331"/>
          </w:tcPr>
          <w:p>
            <w:r>
              <w:rPr>
                <w:rFonts w:ascii="Liberation Sans" w:hAnsi="Liberation Sans"/>
                <w:sz w:val="16"/>
              </w:rPr>
              <w:t>Seal signature request</w:t>
            </w:r>
          </w:p>
        </w:tc>
        <w:tc>
          <w:tcPr>
            <w:tcW w:type="dxa" w:w="3331"/>
          </w:tcPr>
          <w:p>
            <w:r>
              <w:rPr>
                <w:rFonts w:ascii="Liberation Sans" w:hAnsi="Liberation Sans"/>
                <w:sz w:val="16"/>
              </w:rPr>
              <w:t>Ready report-envelope metadata can request Ed25519-development signing as metadata with signature_request_ready=1 and no signing.</w:t>
            </w:r>
          </w:p>
        </w:tc>
        <w:tc>
          <w:tcPr>
            <w:tcW w:type="dxa" w:w="3331"/>
          </w:tcPr>
          <w:p>
            <w:r>
              <w:rPr>
                <w:rFonts w:ascii="Liberation Sans" w:hAnsi="Liberation Sans"/>
                <w:sz w:val="16"/>
              </w:rPr>
              <w:t>Say signature-request classification; do not say Ed25519 signing, verification, private-key handling, or trust establishment.</w:t>
            </w:r>
          </w:p>
        </w:tc>
      </w:tr>
      <w:tr>
        <w:tc>
          <w:tcPr>
            <w:tcW w:type="dxa" w:w="3331"/>
          </w:tcPr>
          <w:p>
            <w:r>
              <w:t>LC host-adapter contract</w:t>
            </w:r>
          </w:p>
        </w:tc>
        <w:tc>
          <w:tcPr>
            <w:tcW w:type="dxa" w:w="3331"/>
          </w:tcPr>
          <w:p>
            <w:r>
              <w:t>Metadata-only contract; host_adapter_present=0, host process/file/network/runtime/boot authority denied.</w:t>
            </w:r>
          </w:p>
        </w:tc>
        <w:tc>
          <w:tcPr>
            <w:tcW w:type="dxa" w:w="3331"/>
          </w:tcPr>
          <w:p>
            <w:r>
              <w:t>Say LC exposes the adapter boundary for review; do not say a host adapter exists, probes the host, or embeds into the host.</w:t>
            </w:r>
          </w:p>
        </w:tc>
      </w:tr>
      <w:tr>
        <w:tc>
          <w:tcPr>
            <w:tcW w:type="dxa" w:w="3331"/>
          </w:tcPr>
          <w:p>
            <w:r>
              <w:t>LC receipt and signature bridge</w:t>
            </w:r>
          </w:p>
        </w:tc>
        <w:tc>
          <w:tcPr>
            <w:tcW w:type="dxa" w:w="3331"/>
          </w:tcPr>
          <w:p>
            <w:r>
              <w:t>Metadata-only receipt request, payload schema, artifact draft, and signature-request binding; payload_artifact_present=0, seal_signature_request_present=0, receipt_write_allowed=0.</w:t>
            </w:r>
          </w:p>
        </w:tc>
        <w:tc>
          <w:tcPr>
            <w:tcW w:type="dxa" w:w="3331"/>
          </w:tcPr>
          <w:p>
            <w:r>
              <w:t>Say LC reserves the Seal receipt path; do not say it materializes payloads, writes receipts, signs, verifies, or hands off to a signer.</w:t>
            </w:r>
          </w:p>
        </w:tc>
      </w:tr>
      <w:tr>
        <w:tc>
          <w:tcPr>
            <w:tcW w:type="dxa" w:w="3331"/>
          </w:tcPr>
          <w:p>
            <w:r>
              <w:t>LC OS-base and VM evidence contracts</w:t>
            </w:r>
          </w:p>
        </w:tc>
        <w:tc>
          <w:tcPr>
            <w:tcW w:type="dxa" w:w="3331"/>
          </w:tcPr>
          <w:p>
            <w:r>
              <w:t>Metadata-only planning/evidence contracts; os_base_enabled=0, vm_evidence_capture_enabled=0, boot_authority=0, production_os_claim=0.</w:t>
            </w:r>
          </w:p>
        </w:tc>
        <w:tc>
          <w:tcPr>
            <w:tcW w:type="dxa" w:w="3331"/>
          </w:tcPr>
          <w:p>
            <w:r>
              <w:t>Say LC records OS/VM promotion gates; do not say it boots, launches VMs, touches hypervisors, writes disk images, or replaces an OS.</w:t>
            </w:r>
          </w:p>
        </w:tc>
      </w:tr>
      <w:tr>
        <w:tc>
          <w:tcPr>
            <w:tcW w:type="dxa" w:w="3331"/>
          </w:tcPr>
          <w:p>
            <w:r>
              <w:t>Runtime Boundary Lat clause evidence</w:t>
            </w:r>
          </w:p>
        </w:tc>
        <w:tc>
          <w:tcPr>
            <w:tcW w:type="dxa" w:w="3331"/>
          </w:tcPr>
          <w:p>
            <w:r>
              <w:t>Record-level propagation of the first lowered Lat clause node index, role, effect, name, operator, and value from pipeline evidence; no operator evaluation or runtime authority.</w:t>
            </w:r>
          </w:p>
        </w:tc>
        <w:tc>
          <w:tcPr>
            <w:tcW w:type="dxa" w:w="3331"/>
          </w:tcPr>
          <w:p>
            <w:r>
              <w:t>Say Runtime Boundary preserves clause provenance for review; do not say it evaluates Lat clauses, executes Lat/LIR, enforces policy, permits effects, or grants authority.</w:t>
            </w:r>
          </w:p>
        </w:tc>
      </w:tr>
    </w:tbl>
    <w:p>
      <w:pPr>
        <w:pStyle w:val="BodyTight"/>
      </w:pPr>
    </w:p>
    <w:p>
      <w:pPr>
        <w:pStyle w:val="Heading2"/>
      </w:pPr>
      <w:r>
        <w:rPr>
          <w:rFonts w:ascii="Liberation Serif" w:hAnsi="Liberation Serif"/>
        </w:rPr>
        <w:t>3.1 Claim discipline</w:t>
      </w:r>
    </w:p>
    <w:p>
      <w:pPr>
        <w:pStyle w:val="BodyTight"/>
      </w:pPr>
      <w:r>
        <w:rPr>
          <w:rFonts w:ascii="Liberation Serif" w:hAnsi="Liberation Serif"/>
        </w:rPr>
        <w:t>A useful project book must not launder aspiration into implementation. For Latticra, aspiration is important: future cryptographic receipts, runtime-boundary metadata, and Linux integration research are all plausible directions. But they must remain future directions until a reader can reproduce the behavior.</w:t>
      </w:r>
    </w:p>
    <w:p>
      <w:pPr>
        <w:pStyle w:val="BodyTight"/>
      </w:pPr>
      <w:r>
        <w:rPr>
          <w:rFonts w:ascii="Liberation Serif" w:hAnsi="Liberation Serif"/>
        </w:rPr>
        <w:t>The claim ledger should be kept in the repository as a first-class artifact. Every README, installer panel, report header, and public project page should be checked against it. When a capability moves from zero to one, the transition should require implementation, tests, documentation, and a short rationale.</w:t>
      </w:r>
    </w:p>
    <w:p>
      <w:pPr>
        <w:pStyle w:val="Heading2"/>
      </w:pPr>
      <w:r>
        <w:rPr>
          <w:rFonts w:ascii="Liberation Serif" w:hAnsi="Liberation Serif"/>
        </w:rPr>
        <w:t>3.2 The invariant behind the ledger</w:t>
      </w:r>
    </w:p>
    <w:p>
      <w:pPr>
        <w:pStyle w:val="CaptionSmall"/>
      </w:pPr>
      <w:r>
        <w:rPr>
          <w:rFonts w:ascii="Liberation Serif" w:hAnsi="Liberation Serif"/>
        </w:rPr>
        <w:t>Algorithm 3.1 - Claim gate invariant.</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For each claim c:</w:t>
              <w:br/>
              <w:t xml:space="preserve">    require evidence, tests, and implementation support</w:t>
              <w:br/>
              <w:t xml:space="preserve">    otherwise deny c or mark future</w:t>
            </w:r>
            <w:r/>
            <w:r>
              <w:rPr>
                <w:rFonts w:ascii="Liberation Mono" w:hAnsi="Liberation Mono"/>
                <w:sz w:val="16"/>
              </w:rPr>
            </w:r>
            <w:r/>
            <w:r>
              <w:rPr>
                <w:rFonts w:ascii="Liberation Mono" w:hAnsi="Liberation Mono"/>
                <w:sz w:val="16"/>
              </w:rPr>
            </w:r>
            <w:r/>
            <w:r>
              <w:rPr>
                <w:rFonts w:ascii="Liberation Mono" w:hAnsi="Liberation Mono"/>
                <w:sz w:val="16"/>
              </w:rPr>
            </w:r>
            <w:r/>
            <w:r>
              <w:rPr>
                <w:rFonts w:ascii="Liberation Mono" w:hAnsi="Liberation Mono"/>
                <w:sz w:val="16"/>
              </w:rPr>
            </w:r>
            <w:r/>
            <w:r>
              <w:rPr>
                <w:rFonts w:ascii="Liberation Mono" w:hAnsi="Liberation Mono"/>
                <w:sz w:val="16"/>
              </w:rPr>
            </w:r>
          </w:p>
        </w:tc>
      </w:tr>
    </w:tbl>
    <w:p>
      <w:pPr>
        <w:pStyle w:val="BodyTight"/>
      </w:pPr>
    </w:p>
    <w:p>
      <w:pPr>
        <w:pStyle w:val="Heading1"/>
        <w:jc w:val="center"/>
      </w:pPr>
      <w:r>
        <w:rPr>
          <w:rFonts w:ascii="Liberation Serif" w:hAnsi="Liberation Serif"/>
          <w:sz w:val="40"/>
        </w:rPr>
        <w:t>Part II - Project Architecture</w:t>
      </w:r>
    </w:p>
    <w:p>
      <w:pPr>
        <w:pStyle w:val="Lead"/>
        <w:jc w:val="center"/>
      </w:pPr>
      <w:r>
        <w:rPr>
          <w:rFonts w:ascii="Liberation Serif" w:hAnsi="Liberation Serif"/>
        </w:rPr>
        <w:t>The project is a collection of lanes: Seal, CLI contracts, Panel, installer, validation, and research artifacts. Their shared job is to preserve authority boundaries.</w:t>
      </w:r>
    </w:p>
    <w:p>
      <w:r>
        <w:rPr>
          <w:rFonts w:ascii="Liberation Serif" w:hAnsi="Liberation Serif"/>
        </w:rPr>
        <w:br w:type="page"/>
      </w:r>
    </w:p>
    <w:p>
      <w:pPr>
        <w:pStyle w:val="Heading1"/>
      </w:pPr>
      <w:r>
        <w:rPr>
          <w:rFonts w:ascii="Liberation Serif" w:hAnsi="Liberation Serif"/>
        </w:rPr>
        <w:t>Chapter 4. Latticra Components</w:t>
      </w:r>
    </w:p>
    <w:p>
      <w:pPr>
        <w:pStyle w:val="Lead"/>
      </w:pPr>
      <w:r>
        <w:rPr>
          <w:rFonts w:ascii="Liberation Serif" w:hAnsi="Liberation Serif"/>
        </w:rPr>
        <w:t>Latticra is best explained as a system of cooperating components rather than one monolithic security product.</w:t>
      </w:r>
    </w:p>
    <w:p>
      <w:pPr>
        <w:pStyle w:val="BodyTight"/>
      </w:pPr>
      <w:r>
        <w:rPr>
          <w:rFonts w:ascii="Liberation Serif" w:hAnsi="Liberation Serif"/>
        </w:rPr>
        <w:t>The available project evidence exposes several component names and workflows: Latticra Seal, Latticra Console, Latticra CLI wrappers, Lat tooling, LIR contracts, the Latticra Panel, a guarded local-prefix installer, docs/examples, developer CLI helpers, Fedora/RPM validation lanes, and demonstration artifacts such as the one-pass field engine. This book treats those as separate lanes in a single substrate.</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E2E8F0"/>
            <w:tcMar>
              <w:top w:w="70" w:type="dxa"/>
              <w:start w:w="70" w:type="dxa"/>
              <w:bottom w:w="70" w:type="dxa"/>
              <w:end w:w="70" w:type="dxa"/>
            </w:tcMar>
            <w:vAlign w:val="center"/>
          </w:tcPr>
          <w:p>
            <w:r/>
            <w:r>
              <w:rPr>
                <w:rFonts w:ascii="Liberation Sans" w:hAnsi="Liberation Sans"/>
                <w:b/>
                <w:color w:val="0F172A"/>
                <w:sz w:val="17"/>
              </w:rPr>
              <w:t>Component lane</w:t>
            </w:r>
          </w:p>
        </w:tc>
        <w:tc>
          <w:tcPr>
            <w:tcW w:type="dxa" w:w="3240"/>
            <w:shd w:fill="E2E8F0"/>
            <w:tcMar>
              <w:top w:w="70" w:type="dxa"/>
              <w:start w:w="70" w:type="dxa"/>
              <w:bottom w:w="70" w:type="dxa"/>
              <w:end w:w="70" w:type="dxa"/>
            </w:tcMar>
            <w:vAlign w:val="center"/>
          </w:tcPr>
          <w:p>
            <w:r/>
            <w:r>
              <w:rPr>
                <w:rFonts w:ascii="Liberation Sans" w:hAnsi="Liberation Sans"/>
                <w:b/>
                <w:color w:val="0F172A"/>
                <w:sz w:val="17"/>
              </w:rPr>
              <w:t>Primary interface</w:t>
            </w:r>
          </w:p>
        </w:tc>
        <w:tc>
          <w:tcPr>
            <w:tcW w:type="dxa" w:w="4536"/>
            <w:shd w:fill="E2E8F0"/>
            <w:tcMar>
              <w:top w:w="70" w:type="dxa"/>
              <w:start w:w="70" w:type="dxa"/>
              <w:bottom w:w="70" w:type="dxa"/>
              <w:end w:w="70" w:type="dxa"/>
            </w:tcMar>
            <w:vAlign w:val="center"/>
          </w:tcPr>
          <w:p>
            <w:r/>
            <w:r>
              <w:rPr>
                <w:rFonts w:ascii="Liberation Sans" w:hAnsi="Liberation Sans"/>
                <w:b/>
                <w:color w:val="0F172A"/>
                <w:sz w:val="17"/>
              </w:rPr>
              <w:t>Substrate responsibility</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Seal</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latticra-seal, reports, manifests, locks</w:t>
            </w:r>
          </w:p>
        </w:tc>
        <w:tc>
          <w:tcPr>
            <w:tcW w:type="dxa" w:w="4536"/>
            <w:tcMar>
              <w:top w:w="60" w:type="dxa"/>
              <w:start w:w="70" w:type="dxa"/>
              <w:bottom w:w="60" w:type="dxa"/>
              <w:end w:w="70" w:type="dxa"/>
            </w:tcMar>
            <w:vAlign w:val="top"/>
          </w:tcPr>
          <w:p>
            <w:pPr>
              <w:spacing w:after="0"/>
            </w:pPr>
            <w:r/>
            <w:r>
              <w:rPr>
                <w:rFonts w:ascii="Liberation Sans" w:hAnsi="Liberation Sans"/>
                <w:color w:val="0F172A"/>
                <w:sz w:val="16"/>
              </w:rPr>
              <w:t>Describe, measure, compare, deny unsupported claims, emit local evidence.</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CLI / wrappers</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latticra, lat, latticra-seal, latticra-panel, installer commands</w:t>
            </w:r>
          </w:p>
        </w:tc>
        <w:tc>
          <w:tcPr>
            <w:tcW w:type="dxa" w:w="4536"/>
            <w:tcMar>
              <w:top w:w="60" w:type="dxa"/>
              <w:start w:w="70" w:type="dxa"/>
              <w:bottom w:w="60" w:type="dxa"/>
              <w:end w:w="70" w:type="dxa"/>
            </w:tcMar>
            <w:vAlign w:val="top"/>
          </w:tcPr>
          <w:p>
            <w:pPr>
              <w:spacing w:after="0"/>
            </w:pPr>
            <w:r/>
            <w:r>
              <w:rPr>
                <w:rFonts w:ascii="Liberation Sans" w:hAnsi="Liberation Sans"/>
                <w:color w:val="0F172A"/>
                <w:sz w:val="16"/>
              </w:rPr>
              <w:t>Provide stable entry points and command contracts.</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Lat tooling</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lat command and related installed components</w:t>
            </w:r>
          </w:p>
        </w:tc>
        <w:tc>
          <w:tcPr>
            <w:tcW w:type="dxa" w:w="4536"/>
            <w:tcMar>
              <w:top w:w="60" w:type="dxa"/>
              <w:start w:w="70" w:type="dxa"/>
              <w:bottom w:w="60" w:type="dxa"/>
              <w:end w:w="70" w:type="dxa"/>
            </w:tcMar>
            <w:vAlign w:val="top"/>
          </w:tcPr>
          <w:p>
            <w:r>
              <w:t>Project tooling lane with grammar, semantic, model, lowering, pipeline, diagnostic, and clause-provenance evidence surfaces.</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LIR contracts</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Installed contract docs and validation lanes</w:t>
            </w:r>
          </w:p>
        </w:tc>
        <w:tc>
          <w:tcPr>
            <w:tcW w:type="dxa" w:w="4536"/>
            <w:tcMar>
              <w:top w:w="60" w:type="dxa"/>
              <w:start w:w="70" w:type="dxa"/>
              <w:bottom w:w="60" w:type="dxa"/>
              <w:end w:w="70" w:type="dxa"/>
            </w:tcMar>
            <w:vAlign w:val="top"/>
          </w:tcPr>
          <w:p>
            <w:r>
              <w:t>Intermediate representation and lowering evidence surface; preserves clause metadata without execution.</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Panel</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Graphical local installer/control surface</w:t>
            </w:r>
          </w:p>
        </w:tc>
        <w:tc>
          <w:tcPr>
            <w:tcW w:type="dxa" w:w="4536"/>
            <w:tcMar>
              <w:top w:w="60" w:type="dxa"/>
              <w:start w:w="70" w:type="dxa"/>
              <w:bottom w:w="60" w:type="dxa"/>
              <w:end w:w="70" w:type="dxa"/>
            </w:tcMar>
            <w:vAlign w:val="top"/>
          </w:tcPr>
          <w:p>
            <w:pPr>
              <w:spacing w:after="0"/>
            </w:pPr>
            <w:r/>
            <w:r>
              <w:rPr>
                <w:rFonts w:ascii="Liberation Sans" w:hAnsi="Liberation Sans"/>
                <w:color w:val="0F172A"/>
                <w:sz w:val="16"/>
              </w:rPr>
              <w:t>Expose plan, evidence, authority, and guarded actions to the operator.</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Installer</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dry-run, local-example, verify-local, uninstall-local</w:t>
            </w:r>
          </w:p>
        </w:tc>
        <w:tc>
          <w:tcPr>
            <w:tcW w:type="dxa" w:w="4536"/>
            <w:tcMar>
              <w:top w:w="60" w:type="dxa"/>
              <w:start w:w="70" w:type="dxa"/>
              <w:bottom w:w="60" w:type="dxa"/>
              <w:end w:w="70" w:type="dxa"/>
            </w:tcMar>
            <w:vAlign w:val="top"/>
          </w:tcPr>
          <w:p>
            <w:pPr>
              <w:spacing w:after="0"/>
            </w:pPr>
            <w:r/>
            <w:r>
              <w:rPr>
                <w:rFonts w:ascii="Liberation Sans" w:hAnsi="Liberation Sans"/>
                <w:color w:val="0F172A"/>
                <w:sz w:val="16"/>
              </w:rPr>
              <w:t>Build or install user-local payloads and receipts with explicit authority limits.</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Validation</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make targets, CI, Fedora VM/RPM lanes</w:t>
            </w:r>
          </w:p>
        </w:tc>
        <w:tc>
          <w:tcPr>
            <w:tcW w:type="dxa" w:w="4536"/>
            <w:tcMar>
              <w:top w:w="60" w:type="dxa"/>
              <w:start w:w="70" w:type="dxa"/>
              <w:bottom w:w="60" w:type="dxa"/>
              <w:end w:w="70" w:type="dxa"/>
            </w:tcMar>
            <w:vAlign w:val="top"/>
          </w:tcPr>
          <w:p>
            <w:pPr>
              <w:spacing w:after="0"/>
            </w:pPr>
            <w:r/>
            <w:r>
              <w:rPr>
                <w:rFonts w:ascii="Liberation Sans" w:hAnsi="Liberation Sans"/>
                <w:color w:val="0F172A"/>
                <w:sz w:val="16"/>
              </w:rPr>
              <w:t>Prove bounded claims and record non-claims.</w:t>
            </w:r>
          </w:p>
        </w:tc>
      </w:tr>
      <w:tr>
        <w:tc>
          <w:tcPr>
            <w:tcW w:type="dxa" w:w="2088"/>
            <w:tcMar>
              <w:top w:w="60" w:type="dxa"/>
              <w:start w:w="70" w:type="dxa"/>
              <w:bottom w:w="60" w:type="dxa"/>
              <w:end w:w="70" w:type="dxa"/>
            </w:tcMar>
            <w:vAlign w:val="top"/>
          </w:tcPr>
          <w:p>
            <w:pPr>
              <w:spacing w:after="0"/>
            </w:pPr>
            <w:r/>
            <w:r>
              <w:rPr>
                <w:rFonts w:ascii="Liberation Sans" w:hAnsi="Liberation Sans"/>
                <w:color w:val="0F172A"/>
                <w:sz w:val="16"/>
              </w:rPr>
              <w:t>Research artifacts</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one-pass field engine and visual demos</w:t>
            </w:r>
          </w:p>
        </w:tc>
        <w:tc>
          <w:tcPr>
            <w:tcW w:type="dxa" w:w="4536"/>
            <w:tcMar>
              <w:top w:w="60" w:type="dxa"/>
              <w:start w:w="70" w:type="dxa"/>
              <w:bottom w:w="60" w:type="dxa"/>
              <w:end w:w="70" w:type="dxa"/>
            </w:tcMar>
            <w:vAlign w:val="top"/>
          </w:tcPr>
          <w:p>
            <w:pPr>
              <w:spacing w:after="0"/>
            </w:pPr>
            <w:r/>
            <w:r>
              <w:rPr>
                <w:rFonts w:ascii="Liberation Sans" w:hAnsi="Liberation Sans"/>
                <w:color w:val="0F172A"/>
                <w:sz w:val="16"/>
              </w:rPr>
              <w:t>Demonstrate concepts without claiming security boundaries.</w:t>
            </w:r>
          </w:p>
        </w:tc>
      </w:tr>
      <w:tr>
        <w:tc>
          <w:tcPr>
            <w:tcW w:type="dxa" w:w="3331"/>
          </w:tcPr>
          <w:p>
            <w:pPr/>
            <w:r>
              <w:rPr>
                <w:rFonts w:ascii="Liberation Sans" w:hAnsi="Liberation Sans"/>
                <w:sz w:val="16"/>
              </w:rPr>
              <w:t>LC</w:t>
            </w:r>
          </w:p>
        </w:tc>
        <w:tc>
          <w:tcPr>
            <w:tcW w:type="dxa" w:w="3331"/>
          </w:tcPr>
          <w:p>
            <w:r>
              <w:t>latticra-lc, command registry, profiles, host/receipt/OS contract reports</w:t>
            </w:r>
          </w:p>
        </w:tc>
        <w:tc>
          <w:tcPr>
            <w:tcW w:type="dxa" w:w="3331"/>
          </w:tcPr>
          <w:p>
            <w:r>
              <w:t>Operator command surface with no-effect metadata, host-adapter and receipt-request contracts, OS/VM evidence planning, and future gates.</w:t>
            </w:r>
          </w:p>
        </w:tc>
      </w:tr>
      <w:tr>
        <w:tc>
          <w:tcPr>
            <w:tcW w:type="dxa" w:w="3331"/>
          </w:tcPr>
          <w:p>
            <w:pPr/>
            <w:r>
              <w:rPr>
                <w:rFonts w:ascii="Liberation Sans" w:hAnsi="Liberation Sans"/>
                <w:sz w:val="16"/>
              </w:rPr>
              <w:t>Nucleus</w:t>
            </w:r>
          </w:p>
        </w:tc>
        <w:tc>
          <w:tcPr>
            <w:tcW w:type="dxa" w:w="3331"/>
          </w:tcPr>
          <w:p>
            <w:pPr/>
            <w:r>
              <w:rPr>
                <w:rFonts w:ascii="Liberation Sans" w:hAnsi="Liberation Sans"/>
                <w:sz w:val="16"/>
              </w:rPr>
              <w:t>nucleus task records and report-only runners</w:t>
            </w:r>
          </w:p>
        </w:tc>
        <w:tc>
          <w:tcPr>
            <w:tcW w:type="dxa" w:w="3331"/>
          </w:tcPr>
          <w:p>
            <w:pPr/>
            <w:r>
              <w:rPr>
                <w:rFonts w:ascii="Liberation Sans" w:hAnsi="Liberation Sans"/>
                <w:sz w:val="16"/>
              </w:rPr>
              <w:t>Coordinate task-boundary metadata without effect-performing execution.</w:t>
            </w:r>
          </w:p>
        </w:tc>
      </w:tr>
      <w:tr>
        <w:tc>
          <w:tcPr>
            <w:tcW w:type="dxa" w:w="3331"/>
          </w:tcPr>
          <w:p>
            <w:pPr/>
            <w:r>
              <w:rPr>
                <w:rFonts w:ascii="Liberation Sans" w:hAnsi="Liberation Sans"/>
                <w:sz w:val="16"/>
              </w:rPr>
              <w:t>Nadia</w:t>
            </w:r>
          </w:p>
        </w:tc>
        <w:tc>
          <w:tcPr>
            <w:tcW w:type="dxa" w:w="3331"/>
          </w:tcPr>
          <w:p>
            <w:pPr/>
            <w:r>
              <w:rPr>
                <w:rFonts w:ascii="Liberation Sans" w:hAnsi="Liberation Sans"/>
                <w:sz w:val="16"/>
              </w:rPr>
              <w:t>latticra-nadia, Panel component, Console metadata</w:t>
            </w:r>
          </w:p>
        </w:tc>
        <w:tc>
          <w:tcPr>
            <w:tcW w:type="dxa" w:w="3331"/>
          </w:tcPr>
          <w:p>
            <w:pPr/>
            <w:r>
              <w:rPr>
                <w:rFonts w:ascii="Liberation Sans" w:hAnsi="Liberation Sans"/>
                <w:sz w:val="16"/>
              </w:rPr>
              <w:t>Offline-AI contract ladder with denied model, tokenizer, prompt, runtime, and tool authority.</w:t>
            </w:r>
          </w:p>
        </w:tc>
      </w:tr>
      <w:tr>
        <w:tc>
          <w:tcPr>
            <w:tcW w:type="dxa" w:w="3331"/>
          </w:tcPr>
          <w:p>
            <w:pPr/>
            <w:r>
              <w:rPr>
                <w:rFonts w:ascii="Liberation Sans" w:hAnsi="Liberation Sans"/>
                <w:sz w:val="16"/>
              </w:rPr>
              <w:t>Platform install lanes</w:t>
            </w:r>
          </w:p>
        </w:tc>
        <w:tc>
          <w:tcPr>
            <w:tcW w:type="dxa" w:w="3331"/>
          </w:tcPr>
          <w:p>
            <w:pPr/>
            <w:r>
              <w:rPr>
                <w:rFonts w:ascii="Liberation Sans" w:hAnsi="Liberation Sans"/>
                <w:sz w:val="16"/>
              </w:rPr>
              <w:t>macOS contracts, Fedora RPM lanes, production readiness gates</w:t>
            </w:r>
          </w:p>
        </w:tc>
        <w:tc>
          <w:tcPr>
            <w:tcW w:type="dxa" w:w="3331"/>
          </w:tcPr>
          <w:p>
            <w:pPr/>
            <w:r>
              <w:rPr>
                <w:rFonts w:ascii="Liberation Sans" w:hAnsi="Liberation Sans"/>
                <w:sz w:val="16"/>
              </w:rPr>
              <w:t>Convert host-facing install claims into dry-run reports, bounded transcripts, and explicit non-readiness evidence.</w:t>
            </w:r>
          </w:p>
        </w:tc>
      </w:tr>
    </w:tbl>
    <w:p>
      <w:pPr>
        <w:pStyle w:val="BodyTight"/>
      </w:pPr>
    </w:p>
    <w:p>
      <w:pPr>
        <w:pStyle w:val="Heading2"/>
      </w:pPr>
      <w:r>
        <w:rPr>
          <w:rFonts w:ascii="Liberation Serif" w:hAnsi="Liberation Serif"/>
        </w:rPr>
        <w:t>4.1 The architecture as dataflow</w:t>
      </w:r>
    </w:p>
    <w:p>
      <w:pPr>
        <w:pStyle w:val="CaptionSmall"/>
      </w:pPr>
      <w:r>
        <w:rPr>
          <w:rFonts w:ascii="Liberation Serif" w:hAnsi="Liberation Serif"/>
        </w:rPr>
        <w:t>Figure 4.1 - Latticra lanes as a conservative dataflow.</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Repository and local prefix</w:t>
            </w:r>
            <w:r>
              <w:br/>
            </w:r>
            <w:r>
              <w:rPr>
                <w:rFonts w:ascii="Liberation Mono" w:hAnsi="Liberation Mono"/>
                <w:sz w:val="16"/>
              </w:rPr>
              <w:t xml:space="preserve">    |             </w:t>
            </w:r>
            <w:r>
              <w:br/>
            </w:r>
            <w:r>
              <w:rPr>
                <w:rFonts w:ascii="Liberation Mono" w:hAnsi="Liberation Mono"/>
                <w:sz w:val="16"/>
              </w:rPr>
              <w:t xml:space="preserve">    +--&gt; CLI wrappers and developer tools</w:t>
            </w:r>
            <w:r>
              <w:br/>
            </w:r>
            <w:r>
              <w:rPr>
                <w:rFonts w:ascii="Liberation Mono" w:hAnsi="Liberation Mono"/>
                <w:sz w:val="16"/>
              </w:rPr>
              <w:t xml:space="preserve">    +--&gt; Seal manifest and lock material</w:t>
            </w:r>
            <w:r>
              <w:br/>
            </w:r>
            <w:r>
              <w:rPr>
                <w:rFonts w:ascii="Liberation Mono" w:hAnsi="Liberation Mono"/>
                <w:sz w:val="16"/>
              </w:rPr>
              <w:t xml:space="preserve">    +--&gt; Panel and installer configuration</w:t>
            </w:r>
            <w:r>
              <w:br/>
            </w:r>
            <w:r>
              <w:rPr>
                <w:rFonts w:ascii="Liberation Mono" w:hAnsi="Liberation Mono"/>
                <w:sz w:val="16"/>
              </w:rPr>
              <w:t xml:space="preserve">    +--&gt; docs, examples, receipts, validation transcripts</w:t>
            </w:r>
            <w:r>
              <w:br/>
            </w:r>
            <w:r>
              <w:rPr>
                <w:rFonts w:ascii="Liberation Mono" w:hAnsi="Liberation Mono"/>
                <w:sz w:val="16"/>
              </w:rPr>
            </w:r>
            <w:r>
              <w:br/>
            </w:r>
            <w:r>
              <w:rPr>
                <w:rFonts w:ascii="Liberation Mono" w:hAnsi="Liberation Mono"/>
                <w:sz w:val="16"/>
              </w:rPr>
              <w:t>Seal lane:</w:t>
            </w:r>
            <w:r>
              <w:br/>
            </w:r>
            <w:r>
              <w:rPr>
                <w:rFonts w:ascii="Liberation Mono" w:hAnsi="Liberation Mono"/>
                <w:sz w:val="16"/>
              </w:rPr>
              <w:t xml:space="preserve">    source tree -&gt; manifest/config -&gt; hash baseline -&gt; policy -&gt; report</w:t>
            </w:r>
            <w:r>
              <w:br/>
            </w:r>
            <w:r>
              <w:rPr>
                <w:rFonts w:ascii="Liberation Mono" w:hAnsi="Liberation Mono"/>
                <w:sz w:val="16"/>
              </w:rPr>
            </w:r>
            <w:r>
              <w:br/>
            </w:r>
            <w:r>
              <w:rPr>
                <w:rFonts w:ascii="Liberation Mono" w:hAnsi="Liberation Mono"/>
                <w:sz w:val="16"/>
              </w:rPr>
              <w:t>Installer lane:</w:t>
            </w:r>
            <w:r>
              <w:br/>
            </w:r>
            <w:r>
              <w:rPr>
                <w:rFonts w:ascii="Liberation Mono" w:hAnsi="Liberation Mono"/>
                <w:sz w:val="16"/>
              </w:rPr>
              <w:t xml:space="preserve">    config -&gt; plan -&gt; guarded prefix mutation or dry-run -&gt; receipt -&gt; verification</w:t>
            </w:r>
            <w:r>
              <w:br/>
            </w:r>
            <w:r>
              <w:rPr>
                <w:rFonts w:ascii="Liberation Mono" w:hAnsi="Liberation Mono"/>
                <w:sz w:val="16"/>
              </w:rPr>
            </w:r>
            <w:r>
              <w:br/>
            </w:r>
            <w:r>
              <w:rPr>
                <w:rFonts w:ascii="Liberation Mono" w:hAnsi="Liberation Mono"/>
                <w:sz w:val="16"/>
              </w:rPr>
              <w:t>Panel lane:</w:t>
            </w:r>
            <w:r>
              <w:br/>
            </w:r>
            <w:r>
              <w:rPr>
                <w:rFonts w:ascii="Liberation Mono" w:hAnsi="Liberation Mono"/>
                <w:sz w:val="16"/>
              </w:rPr>
              <w:t xml:space="preserve">    profile -&gt; authority view -&gt; plan/evidence -&gt; guarded action -&gt; status</w:t>
            </w:r>
          </w:p>
        </w:tc>
      </w:tr>
    </w:tbl>
    <w:p>
      <w:pPr>
        <w:pStyle w:val="BodyTight"/>
      </w:pPr>
    </w:p>
    <w:p>
      <w:pPr>
        <w:pStyle w:val="BodyTight"/>
      </w:pPr>
      <w:r>
        <w:rPr>
          <w:rFonts w:ascii="Liberation Serif" w:hAnsi="Liberation Serif"/>
        </w:rPr>
        <w:t>The design becomes easier to reason about when each lane is interpreted by its effects. The Seal lane should mostly read and report. The installer lane may write inside a guarded user-local prefix. The Panel lane may make plans and evidence visible, but it should not silently upgrade itself into root, network, or runtime authority.</w:t>
      </w:r>
    </w:p>
    <w:p>
      <w:pPr>
        <w:pStyle w:val="Heading2"/>
      </w:pPr>
      <w:r>
        <w:rPr>
          <w:rFonts w:ascii="Liberation Serif" w:hAnsi="Liberation Serif"/>
        </w:rPr>
        <w:t>4.2 Component seams</w:t>
      </w:r>
    </w:p>
    <w:p>
      <w:pPr>
        <w:pStyle w:val="BodyTight"/>
      </w:pPr>
      <w:r>
        <w:rPr>
          <w:rFonts w:ascii="Liberation Serif" w:hAnsi="Liberation Serif"/>
        </w:rPr>
        <w:t>The most important design problem is the seam between components. The Seal report may be shown in the Panel. The installer may write a Seal config. CLI wrappers may call Seal. Validation lanes may assert that those calls are safe. Each seam should have an interface contract that states inputs, outputs, authorities, errors, and proof artifacts.</w:t>
      </w:r>
    </w:p>
    <w:p>
      <w:pPr>
        <w:pStyle w:val="ListBullet"/>
        <w:spacing w:after="40"/>
      </w:pPr>
      <w:r>
        <w:rPr>
          <w:rFonts w:ascii="Liberation Serif" w:hAnsi="Liberation Serif"/>
        </w:rPr>
        <w:t>Seal-to-Panel seam: Panel may invoke report-only checks and display reports; it must not grant enforcement authority.</w:t>
      </w:r>
    </w:p>
    <w:p>
      <w:pPr>
        <w:pStyle w:val="ListBullet"/>
        <w:spacing w:after="40"/>
      </w:pPr>
      <w:r>
        <w:rPr>
          <w:rFonts w:ascii="Liberation Serif" w:hAnsi="Liberation Serif"/>
        </w:rPr>
        <w:t>Installer-to-Seal seam: installer may install report-only Seal configuration and component markers; it must record receipts.</w:t>
      </w:r>
    </w:p>
    <w:p>
      <w:pPr>
        <w:pStyle w:val="ListBullet"/>
        <w:spacing w:after="40"/>
      </w:pPr>
      <w:r>
        <w:rPr>
          <w:rFonts w:ascii="Liberation Serif" w:hAnsi="Liberation Serif"/>
        </w:rPr>
        <w:t>CLI-to-Policy seam: every user-facing command must document read effects, write effects, network use, root use, PASS, and FAIL.</w:t>
      </w:r>
    </w:p>
    <w:p>
      <w:pPr>
        <w:pStyle w:val="ListBullet"/>
        <w:spacing w:after="40"/>
      </w:pPr>
      <w:r>
        <w:rPr>
          <w:rFonts w:ascii="Liberation Serif" w:hAnsi="Liberation Serif"/>
        </w:rPr>
        <w:t>Validation-to-README seam: CI results should constrain public wording and prevent stale status claims.</w:t>
      </w:r>
    </w:p>
    <w:p>
      <w:pPr>
        <w:pStyle w:val="Heading2"/>
      </w:pPr>
      <w:r>
        <w:t>4.3 Latticra Console as operator surface</w:t>
      </w:r>
    </w:p>
    <w:p>
      <w:pPr>
        <w:pStyle w:val="BodyTight"/>
      </w:pPr>
      <w:r>
        <w:t>Latticra Console, or LC, is the planned operator base for the substrate. Stage 0 makes LC visible without granting host authority: it is panel-installable, configurable, backed by a seed command registry, bound to Runtime Boundary classification plus Seal capability labels, and now extended with inspectable host, receipt, OS-base, and VM-evidence contract surfaces.</w:t>
      </w:r>
    </w:p>
    <w:p>
      <w:pPr>
        <w:pStyle w:val="ListBullet"/>
      </w:pPr>
      <w:r>
        <w:t>LC command metadata records name, usage, category, effect, capability label, no-effect status, panel visibility, host-process launch status, and future-gate requirements.</w:t>
      </w:r>
    </w:p>
    <w:p>
      <w:pPr>
        <w:pStyle w:val="ListBullet"/>
      </w:pPr>
      <w:r>
        <w:t>The current report surface is ready-report-only: command registry no-effect is preserved, host process launch is denied, and execution, host mutation, network, runtime enforcement, and boot authority remain zero.</w:t>
      </w:r>
    </w:p>
    <w:p>
      <w:pPr>
        <w:pStyle w:val="ListBullet"/>
      </w:pPr>
      <w:r>
        <w:t>Future host embedding and OS-base directions are planning profiles only; they do not replace a host OS, launch shell commands, or create boot/runtime authority.</w:t>
      </w:r>
    </w:p>
    <w:p>
      <w:pPr>
        <w:pStyle w:val="ListBullet"/>
      </w:pPr>
      <w:r>
        <w:t>LC contract commands now include lc host-adapter, lc receipt-request, lc receipt-payload, lc receipt-artifact, lc signature-request, lc os-contract, and lc vm-evidence. They are review surfaces, not effect surfaces.</w:t>
      </w:r>
    </w:p>
    <w:p>
      <w:pPr>
        <w:pStyle w:val="ListBullet"/>
      </w:pPr>
      <w:r>
        <w:t>The important zeroes are part of the operator contract: host_adapter_present=0, payload_artifact_present=0, seal_signature_request_present=0, receipt_write_allowed=0, vm_evidence_artifact_present=0, boot_authority=0, and production_os_claim=0.</w:t>
      </w:r>
    </w:p>
    <w:p>
      <w:pPr>
        <w:pStyle w:val="Heading2"/>
      </w:pPr>
      <w:r>
        <w:t>4.4 Nucleus and Nadia as AI-era boundary surfaces</w:t>
      </w:r>
    </w:p>
    <w:p>
      <w:pPr>
        <w:pStyle w:val="BodyTight"/>
      </w:pPr>
      <w:r>
        <w:t>Nucleus and Nadia extend the substrate into AI-era work, but only as boundary surfaces first. Their value is not that they make the project autonomous today; it is that they force task requests, prompt chains, tokenizer artifacts, model readiness, tool authority, and future runtime entry points into explicit metadata before any effect-performing behavior can exist.</w:t>
      </w:r>
    </w:p>
    <w:p>
      <w:pPr>
        <w:pStyle w:val="ListBullet"/>
      </w:pPr>
      <w:r>
        <w:t>Nucleus currently records classification and policy posture for task-shaped requests. Its report refinements make execution_status=not-executed, effect_status=report-only, runtime_status=not-entered, no_effect_policy=preserved, and representation_gate=language-representation-reviewed visible in deterministic output.</w:t>
      </w:r>
    </w:p>
    <w:p>
      <w:pPr>
        <w:pStyle w:val="ListBullet"/>
      </w:pPr>
      <w:r>
        <w:t>Nadia is an optional offline-AI foundation, not an active AI assistant. Stage-0 through Stage-27 establish identity, Panel and Console surfaces, local context metadata, runtime/profile contracts, prompt and model contracts, tokenizer artifact contracts, prompt-tokenization contracts, and prompt-token-sequence contracts, and context-window assembly contracts while keeping model runtime, prompt reading, token creation, context-window assembly, prompt-evaluation-input creation, inference, dialogue generation, network access, source mutation, and tool execution denied.</w:t>
      </w:r>
    </w:p>
    <w:p>
      <w:pPr>
        <w:pStyle w:val="ListBullet"/>
      </w:pPr>
      <w:r>
        <w:t>The shared rule is evidence before capability. A future AI-adjacent command must pass through command-registry metadata, Nucleus task records, Runtime Boundary labels, Seal report surfaces, and explicit tests before any authority widens.</w:t>
      </w:r>
    </w:p>
    <w:p>
      <w:pPr>
        <w:pStyle w:val="Heading1"/>
      </w:pPr>
      <w:r>
        <w:rPr>
          <w:rFonts w:ascii="Liberation Serif" w:hAnsi="Liberation Serif"/>
        </w:rPr>
        <w:t>Chapter 5. Latticra Seal</w:t>
      </w:r>
    </w:p>
    <w:p>
      <w:pPr>
        <w:pStyle w:val="Lead"/>
      </w:pPr>
      <w:r>
        <w:rPr>
          <w:rFonts w:ascii="Liberation Serif" w:hAnsi="Liberation Serif"/>
        </w:rPr>
        <w:t>Seal is the project layer that turns local state into bounded evidence. It is the original center of the handbook and remains the most explicit subsystem.</w:t>
      </w:r>
    </w:p>
    <w:p>
      <w:pPr>
        <w:pStyle w:val="BodyTight"/>
      </w:pPr>
      <w:r>
        <w:rPr>
          <w:rFonts w:ascii="Liberation Serif" w:hAnsi="Liberation Serif"/>
        </w:rPr>
        <w:t>Seal is not a separate production security product. It is a Latticra substructure for evidence, reporting, policy boundaries, manifests, hash baselines, and future runtime-boundary metadata. Its current intellectual strength is restraint: it begins with describing what exists, measuring what exists, reporting what changed, and refusing to claim authority it does not have.</w:t>
      </w:r>
    </w:p>
    <w:p>
      <w:pPr>
        <w:pStyle w:val="Heading2"/>
      </w:pPr>
      <w:r>
        <w:rPr>
          <w:rFonts w:ascii="Liberation Serif" w:hAnsi="Liberation Serif"/>
        </w:rPr>
        <w:t>5.1 The Seal pipeline</w:t>
      </w:r>
    </w:p>
    <w:p>
      <w:pPr>
        <w:pStyle w:val="CaptionSmall"/>
      </w:pPr>
      <w:r>
        <w:rPr>
          <w:rFonts w:ascii="Liberation Serif" w:hAnsi="Liberation Serif"/>
        </w:rPr>
        <w:t>Figure 5.1 - Seal pipeline.</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source tree</w:t>
            </w:r>
            <w:r>
              <w:br/>
            </w:r>
            <w:r>
              <w:rPr>
                <w:rFonts w:ascii="Liberation Mono" w:hAnsi="Liberation Mono"/>
                <w:sz w:val="16"/>
              </w:rPr>
              <w:t xml:space="preserve">  -&gt; manifest / seal config</w:t>
            </w:r>
            <w:r>
              <w:br/>
            </w:r>
            <w:r>
              <w:rPr>
                <w:rFonts w:ascii="Liberation Mono" w:hAnsi="Liberation Mono"/>
                <w:sz w:val="16"/>
              </w:rPr>
              <w:t xml:space="preserve">  -&gt; hash baseline</w:t>
            </w:r>
            <w:r>
              <w:br/>
            </w:r>
            <w:r>
              <w:rPr>
                <w:rFonts w:ascii="Liberation Mono" w:hAnsi="Liberation Mono"/>
                <w:sz w:val="16"/>
              </w:rPr>
              <w:t xml:space="preserve">  -&gt; policy checks</w:t>
            </w:r>
            <w:r>
              <w:br/>
            </w:r>
            <w:r>
              <w:rPr>
                <w:rFonts w:ascii="Liberation Mono" w:hAnsi="Liberation Mono"/>
                <w:sz w:val="16"/>
              </w:rPr>
              <w:t xml:space="preserve">  -&gt; report-only evidence</w:t>
            </w:r>
            <w:r>
              <w:br/>
            </w:r>
            <w:r>
              <w:rPr>
                <w:rFonts w:ascii="Liberation Mono" w:hAnsi="Liberation Mono"/>
                <w:sz w:val="16"/>
              </w:rPr>
              <w:t xml:space="preserve">  -&gt; Panel / CLI / future runtime-boundary handoff</w:t>
            </w:r>
          </w:p>
        </w:tc>
      </w:tr>
    </w:tbl>
    <w:p>
      <w:pPr>
        <w:pStyle w:val="BodyTight"/>
      </w:pPr>
    </w:p>
    <w:p>
      <w:pPr>
        <w:pStyle w:val="Heading2"/>
      </w:pPr>
      <w:r>
        <w:rPr>
          <w:rFonts w:ascii="Liberation Serif" w:hAnsi="Liberation Serif"/>
        </w:rPr>
        <w:t>5.2 Manifest layer</w:t>
      </w:r>
    </w:p>
    <w:p>
      <w:pPr>
        <w:pStyle w:val="BodyTight"/>
      </w:pPr>
      <w:r>
        <w:rPr>
          <w:rFonts w:ascii="Liberation Serif" w:hAnsi="Liberation Serif"/>
        </w:rPr>
        <w:t>The manifest layer defines the legal scope of inspection. A mature manifest should specify included paths, excluded paths, expected files, policy settings, report behavior, and authority declarations. A malformed manifest should not be interpreted generously; it should produce a denial that a developer can fix.</w:t>
      </w:r>
    </w:p>
    <w:p>
      <w:pPr>
        <w:pStyle w:val="CaptionSmall"/>
      </w:pPr>
      <w:r>
        <w:rPr>
          <w:rFonts w:ascii="Liberation Serif" w:hAnsi="Liberation Serif"/>
        </w:rPr>
        <w:t>Example 5.1 - Manifest shape for scoped local evidence.</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 illustrative latticra.seal manifest - not a normative schema</w:t>
            </w:r>
            <w:r>
              <w:br/>
            </w:r>
            <w:r>
              <w:rPr>
                <w:rFonts w:ascii="Liberation Mono" w:hAnsi="Liberation Mono"/>
                <w:sz w:val="16"/>
              </w:rPr>
              <w:t>project = "Latticra"</w:t>
            </w:r>
            <w:r>
              <w:br/>
            </w:r>
            <w:r>
              <w:rPr>
                <w:rFonts w:ascii="Liberation Mono" w:hAnsi="Liberation Mono"/>
                <w:sz w:val="16"/>
              </w:rPr>
              <w:t>mode = "report-only"</w:t>
            </w:r>
            <w:r>
              <w:br/>
            </w:r>
            <w:r>
              <w:rPr>
                <w:rFonts w:ascii="Liberation Mono" w:hAnsi="Liberation Mono"/>
                <w:sz w:val="16"/>
              </w:rPr>
            </w:r>
            <w:r>
              <w:br/>
            </w:r>
            <w:r>
              <w:rPr>
                <w:rFonts w:ascii="Liberation Mono" w:hAnsi="Liberation Mono"/>
                <w:sz w:val="16"/>
              </w:rPr>
              <w:t>[scope]</w:t>
            </w:r>
            <w:r>
              <w:br/>
            </w:r>
            <w:r>
              <w:rPr>
                <w:rFonts w:ascii="Liberation Mono" w:hAnsi="Liberation Mono"/>
                <w:sz w:val="16"/>
              </w:rPr>
              <w:t>include = ["docs", "installer", "examples", "fixtures"]</w:t>
            </w:r>
            <w:r>
              <w:br/>
            </w:r>
            <w:r>
              <w:rPr>
                <w:rFonts w:ascii="Liberation Mono" w:hAnsi="Liberation Mono"/>
                <w:sz w:val="16"/>
              </w:rPr>
              <w:t>exclude = [".git", "target", "build", "*.tmp"]</w:t>
            </w:r>
            <w:r>
              <w:br/>
            </w:r>
            <w:r>
              <w:rPr>
                <w:rFonts w:ascii="Liberation Mono" w:hAnsi="Liberation Mono"/>
                <w:sz w:val="16"/>
              </w:rPr>
            </w:r>
            <w:r>
              <w:br/>
            </w:r>
            <w:r>
              <w:rPr>
                <w:rFonts w:ascii="Liberation Mono" w:hAnsi="Liberation Mono"/>
                <w:sz w:val="16"/>
              </w:rPr>
              <w:t>[authority]</w:t>
            </w:r>
            <w:r>
              <w:br/>
            </w:r>
            <w:r>
              <w:rPr>
                <w:rFonts w:ascii="Liberation Mono" w:hAnsi="Liberation Mono"/>
                <w:sz w:val="16"/>
              </w:rPr>
              <w:t>network = false</w:t>
            </w:r>
            <w:r>
              <w:br/>
            </w:r>
            <w:r>
              <w:rPr>
                <w:rFonts w:ascii="Liberation Mono" w:hAnsi="Liberation Mono"/>
                <w:sz w:val="16"/>
              </w:rPr>
              <w:t>root = false</w:t>
            </w:r>
            <w:r>
              <w:br/>
            </w:r>
            <w:r>
              <w:rPr>
                <w:rFonts w:ascii="Liberation Mono" w:hAnsi="Liberation Mono"/>
                <w:sz w:val="16"/>
              </w:rPr>
              <w:t>runtime_enforcement = false</w:t>
            </w:r>
            <w:r>
              <w:br/>
            </w:r>
            <w:r>
              <w:rPr>
                <w:rFonts w:ascii="Liberation Mono" w:hAnsi="Liberation Mono"/>
                <w:sz w:val="16"/>
              </w:rPr>
              <w:t>kernel_modification = false</w:t>
            </w:r>
            <w:r>
              <w:br/>
            </w:r>
            <w:r>
              <w:rPr>
                <w:rFonts w:ascii="Liberation Mono" w:hAnsi="Liberation Mono"/>
                <w:sz w:val="16"/>
              </w:rPr>
              <w:t>systemd_modification = false</w:t>
            </w:r>
            <w:r>
              <w:br/>
            </w:r>
            <w:r>
              <w:rPr>
                <w:rFonts w:ascii="Liberation Mono" w:hAnsi="Liberation Mono"/>
                <w:sz w:val="16"/>
              </w:rPr>
              <w:t>selinux_modification = false</w:t>
            </w:r>
            <w:r>
              <w:br/>
            </w:r>
            <w:r>
              <w:rPr>
                <w:rFonts w:ascii="Liberation Mono" w:hAnsi="Liberation Mono"/>
                <w:sz w:val="16"/>
              </w:rPr>
            </w:r>
            <w:r>
              <w:br/>
            </w:r>
            <w:r>
              <w:rPr>
                <w:rFonts w:ascii="Liberation Mono" w:hAnsi="Liberation Mono"/>
                <w:sz w:val="16"/>
              </w:rPr>
              <w:t>[policy]</w:t>
            </w:r>
            <w:r>
              <w:br/>
            </w:r>
            <w:r>
              <w:rPr>
                <w:rFonts w:ascii="Liberation Mono" w:hAnsi="Liberation Mono"/>
                <w:sz w:val="16"/>
              </w:rPr>
              <w:t>fail_closed = true</w:t>
            </w:r>
            <w:r>
              <w:br/>
            </w:r>
            <w:r>
              <w:rPr>
                <w:rFonts w:ascii="Liberation Mono" w:hAnsi="Liberation Mono"/>
                <w:sz w:val="16"/>
              </w:rPr>
              <w:t>deny_outside_scope = true</w:t>
            </w:r>
            <w:r>
              <w:br/>
            </w:r>
            <w:r>
              <w:rPr>
                <w:rFonts w:ascii="Liberation Mono" w:hAnsi="Liberation Mono"/>
                <w:sz w:val="16"/>
              </w:rPr>
              <w:t>deny_unknown_authority = true</w:t>
            </w:r>
          </w:p>
        </w:tc>
      </w:tr>
    </w:tbl>
    <w:p>
      <w:pPr>
        <w:pStyle w:val="BodyTight"/>
      </w:pPr>
    </w:p>
    <w:p>
      <w:pPr>
        <w:pStyle w:val="Heading2"/>
      </w:pPr>
      <w:r>
        <w:rPr>
          <w:rFonts w:ascii="Liberation Serif" w:hAnsi="Liberation Serif"/>
        </w:rPr>
        <w:t>5.3 Measurement layer</w:t>
      </w:r>
    </w:p>
    <w:p>
      <w:pPr>
        <w:pStyle w:val="BodyTight"/>
      </w:pPr>
      <w:r>
        <w:rPr>
          <w:rFonts w:ascii="Liberation Serif" w:hAnsi="Liberation Serif"/>
        </w:rPr>
        <w:t>The measurement layer computes local evidence. In its conservative mode it should read files, compute hashes, compare against the saved baseline, report changed/missing/new files, and avoid mutation unless explicitly running a baseline update command. The measurement layer is not a judge by itself; it produces facts for policy and reports.</w:t>
      </w:r>
    </w:p>
    <w:p>
      <w:pPr>
        <w:pStyle w:val="CaptionSmall"/>
      </w:pPr>
      <w:r>
        <w:rPr>
          <w:rFonts w:ascii="Liberation Serif" w:hAnsi="Liberation Serif"/>
        </w:rPr>
        <w:t>Algorithm 5.1 - Read-only measurement skeleton.</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def measure(manifest, lock):</w:t>
            </w:r>
            <w:r>
              <w:br/>
            </w:r>
            <w:r>
              <w:rPr>
                <w:rFonts w:ascii="Liberation Mono" w:hAnsi="Liberation Mono"/>
                <w:sz w:val="16"/>
              </w:rPr>
              <w:t xml:space="preserve">    assert manifest.mode in {"report-only", "verification"}</w:t>
            </w:r>
            <w:r>
              <w:br/>
            </w:r>
            <w:r>
              <w:rPr>
                <w:rFonts w:ascii="Liberation Mono" w:hAnsi="Liberation Mono"/>
                <w:sz w:val="16"/>
              </w:rPr>
              <w:t xml:space="preserve">    paths = resolve_scope(manifest.scope)</w:t>
            </w:r>
            <w:r>
              <w:br/>
            </w:r>
            <w:r>
              <w:rPr>
                <w:rFonts w:ascii="Liberation Mono" w:hAnsi="Liberation Mono"/>
                <w:sz w:val="16"/>
              </w:rPr>
              <w:t xml:space="preserve">    evidence = []</w:t>
            </w:r>
            <w:r>
              <w:br/>
            </w:r>
            <w:r>
              <w:rPr>
                <w:rFonts w:ascii="Liberation Mono" w:hAnsi="Liberation Mono"/>
                <w:sz w:val="16"/>
              </w:rPr>
              <w:t xml:space="preserve">    for path in paths:</w:t>
            </w:r>
            <w:r>
              <w:br/>
            </w:r>
            <w:r>
              <w:rPr>
                <w:rFonts w:ascii="Liberation Mono" w:hAnsi="Liberation Mono"/>
                <w:sz w:val="16"/>
              </w:rPr>
              <w:t xml:space="preserve">        digest = hash_file(path)</w:t>
            </w:r>
            <w:r>
              <w:br/>
            </w:r>
            <w:r>
              <w:rPr>
                <w:rFonts w:ascii="Liberation Mono" w:hAnsi="Liberation Mono"/>
                <w:sz w:val="16"/>
              </w:rPr>
              <w:t xml:space="preserve">        expected = lock.digest_for(path)</w:t>
            </w:r>
            <w:r>
              <w:br/>
            </w:r>
            <w:r>
              <w:rPr>
                <w:rFonts w:ascii="Liberation Mono" w:hAnsi="Liberation Mono"/>
                <w:sz w:val="16"/>
              </w:rPr>
              <w:t xml:space="preserve">        evidence.append(compare(path, digest, expected))</w:t>
            </w:r>
            <w:r>
              <w:br/>
            </w:r>
            <w:r>
              <w:rPr>
                <w:rFonts w:ascii="Liberation Mono" w:hAnsi="Liberation Mono"/>
                <w:sz w:val="16"/>
              </w:rPr>
              <w:t xml:space="preserve">    return evidence</w:t>
            </w:r>
          </w:p>
        </w:tc>
      </w:tr>
    </w:tbl>
    <w:p>
      <w:pPr>
        <w:pStyle w:val="BodyTight"/>
      </w:pPr>
    </w:p>
    <w:p>
      <w:pPr>
        <w:pStyle w:val="Heading2"/>
      </w:pPr>
      <w:r>
        <w:rPr>
          <w:rFonts w:ascii="Liberation Serif" w:hAnsi="Liberation Serif"/>
        </w:rPr>
        <w:t>5.4 Policy layer</w:t>
      </w:r>
    </w:p>
    <w:p>
      <w:pPr>
        <w:pStyle w:val="BodyTight"/>
      </w:pPr>
      <w:r>
        <w:rPr>
          <w:rFonts w:ascii="Liberation Serif" w:hAnsi="Liberation Serif"/>
        </w:rPr>
        <w:t>The policy layer decides whether the measured state is acceptable. The default must be conservative. Unsupported authority claims, malformed manifests, denied paths, and missing metadata should not pass. Policy should be understood as a compiler from messy project state into explicit pass/fail/deny outcomes.</w:t>
      </w:r>
    </w:p>
    <w:p>
      <w:pPr>
        <w:pStyle w:val="Heading2"/>
      </w:pPr>
      <w:r>
        <w:rPr>
          <w:rFonts w:ascii="Liberation Serif" w:hAnsi="Liberation Serif"/>
        </w:rPr>
        <w:t>5.5 Report layer</w:t>
      </w:r>
    </w:p>
    <w:p>
      <w:pPr>
        <w:pStyle w:val="BodyTight"/>
      </w:pPr>
      <w:r>
        <w:rPr>
          <w:rFonts w:ascii="Liberation Serif" w:hAnsi="Liberation Serif"/>
        </w:rPr>
        <w:t>The report layer emits human-readable and eventually machine-readable evidence. The source handbook identifies fields such as timestamp, mode, prefix, kernel, OS, authority flags, manifest/lock presence, hash status, warnings, failures, and final status. A report-only PASS means the checked evidence matched local expectations for that command. It must not be interpreted as proof that the host is secure.</w:t>
      </w:r>
    </w:p>
    <w:p>
      <w:pPr>
        <w:pStyle w:val="CaptionSmall"/>
      </w:pPr>
      <w:r>
        <w:rPr>
          <w:rFonts w:ascii="Liberation Serif" w:hAnsi="Liberation Serif"/>
        </w:rPr>
        <w:t>Example 5.2 - Report semantics, with explicit non-claim.</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timestamp_utc=2026-05-24T00:00:00Z</w:t>
            </w:r>
            <w:r>
              <w:br/>
            </w:r>
            <w:r>
              <w:rPr>
                <w:rFonts w:ascii="Liberation Mono" w:hAnsi="Liberation Mono"/>
                <w:sz w:val="16"/>
              </w:rPr>
              <w:t>mode=report-only</w:t>
            </w:r>
            <w:r>
              <w:br/>
            </w:r>
            <w:r>
              <w:rPr>
                <w:rFonts w:ascii="Liberation Mono" w:hAnsi="Liberation Mono"/>
                <w:sz w:val="16"/>
              </w:rPr>
              <w:t>prefix=/home/user/.local/share/latticra</w:t>
            </w:r>
            <w:r>
              <w:br/>
            </w:r>
            <w:r>
              <w:rPr>
                <w:rFonts w:ascii="Liberation Mono" w:hAnsi="Liberation Mono"/>
                <w:sz w:val="16"/>
              </w:rPr>
              <w:t>network_authority=0</w:t>
            </w:r>
            <w:r>
              <w:br/>
            </w:r>
            <w:r>
              <w:rPr>
                <w:rFonts w:ascii="Liberation Mono" w:hAnsi="Liberation Mono"/>
                <w:sz w:val="16"/>
              </w:rPr>
              <w:t>runtime_enforcement_authority=0</w:t>
            </w:r>
            <w:r>
              <w:br/>
            </w:r>
            <w:r>
              <w:rPr>
                <w:rFonts w:ascii="Liberation Mono" w:hAnsi="Liberation Mono"/>
                <w:sz w:val="16"/>
              </w:rPr>
              <w:t>root_authority=0</w:t>
            </w:r>
            <w:r>
              <w:br/>
            </w:r>
            <w:r>
              <w:rPr>
                <w:rFonts w:ascii="Liberation Mono" w:hAnsi="Liberation Mono"/>
                <w:sz w:val="16"/>
              </w:rPr>
              <w:t>manifest_present=1</w:t>
            </w:r>
            <w:r>
              <w:br/>
            </w:r>
            <w:r>
              <w:rPr>
                <w:rFonts w:ascii="Liberation Mono" w:hAnsi="Liberation Mono"/>
                <w:sz w:val="16"/>
              </w:rPr>
              <w:t>lock_present=1</w:t>
            </w:r>
            <w:r>
              <w:br/>
            </w:r>
            <w:r>
              <w:rPr>
                <w:rFonts w:ascii="Liberation Mono" w:hAnsi="Liberation Mono"/>
                <w:sz w:val="16"/>
              </w:rPr>
              <w:t>hashes_checked=128</w:t>
            </w:r>
            <w:r>
              <w:br/>
            </w:r>
            <w:r>
              <w:rPr>
                <w:rFonts w:ascii="Liberation Mono" w:hAnsi="Liberation Mono"/>
                <w:sz w:val="16"/>
              </w:rPr>
              <w:t>hashes_changed=0</w:t>
            </w:r>
            <w:r>
              <w:br/>
            </w:r>
            <w:r>
              <w:rPr>
                <w:rFonts w:ascii="Liberation Mono" w:hAnsi="Liberation Mono"/>
                <w:sz w:val="16"/>
              </w:rPr>
              <w:t>warnings=0</w:t>
            </w:r>
            <w:r>
              <w:br/>
            </w:r>
            <w:r>
              <w:rPr>
                <w:rFonts w:ascii="Liberation Mono" w:hAnsi="Liberation Mono"/>
                <w:sz w:val="16"/>
              </w:rPr>
              <w:t>failures=0</w:t>
            </w:r>
            <w:r>
              <w:br/>
            </w:r>
            <w:r>
              <w:rPr>
                <w:rFonts w:ascii="Liberation Mono" w:hAnsi="Liberation Mono"/>
                <w:sz w:val="16"/>
              </w:rPr>
              <w:t>status=PASS</w:t>
            </w:r>
            <w:r>
              <w:br/>
            </w:r>
            <w:r>
              <w:rPr>
                <w:rFonts w:ascii="Liberation Mono" w:hAnsi="Liberation Mono"/>
                <w:sz w:val="16"/>
              </w:rPr>
              <w:t>meaning=local evidence matched declared expectations; host security not claimed</w:t>
            </w:r>
          </w:p>
        </w:tc>
      </w:tr>
    </w:tbl>
    <w:p>
      <w:pPr>
        <w:pStyle w:val="BodyTight"/>
      </w:pPr>
    </w:p>
    <w:p>
      <w:pPr>
        <w:pStyle w:val="Heading2"/>
      </w:pPr>
      <w:r>
        <w:rPr>
          <w:rFonts w:ascii="Liberation Serif" w:hAnsi="Liberation Serif" w:eastAsia="Liberation Serif"/>
        </w:rPr>
        <w:t>5.6 Seal trust and crypto metadata ladder</w:t>
      </w:r>
    </w:p>
    <w:p>
      <w:pPr>
        <w:pStyle w:val="BodyTight"/>
      </w:pPr>
      <w:r>
        <w:t>Seal now has enough trust-adjacent contract surface to name a ladder without pretending the ladder already grants authority. The stages are signed request metadata, request freshness metadata, verification policy metadata, verification receipt metadata, crypto verify backend metadata, Ed25519 verify-only result metadata, verified receipt promotion metadata, verified capability gate metadata, verified effect decision metadata, runtime handoff evaluation metadata, runtime handoff report metadata, report envelope metadata, and signature request metadata. Each stage records the next question before the project is allowed to answer it with effects.</w:t>
      </w:r>
    </w:p>
    <w:p>
      <w:pPr>
        <w:pStyle w:val="BodyTight"/>
      </w:pPr>
      <w:r>
        <w:rPr>
          <w:rFonts w:ascii="Liberation Serif" w:hAnsi="Liberation Serif" w:eastAsia="Liberation Serif"/>
        </w:rPr>
        <w:t>Signed request records may describe identity, context, parameters, freshness, policy binding, algorithms, key identifiers, and signature hashes, but the signed-request posture is still report-only. Signature generation, signed-request verification, public trust lookup, revocation lookup, signed-request enforcement, host effects, and runtime authority remain zero claims even though a separate local verify-only primitive now exists.</w:t>
      </w:r>
    </w:p>
    <w:p>
      <w:pPr>
        <w:pStyle w:val="BodyTight"/>
      </w:pPr>
      <w:r>
        <w:rPr>
          <w:rFonts w:ascii="Liberation Serif" w:hAnsi="Liberation Serif" w:eastAsia="Liberation Serif"/>
        </w:rPr>
        <w:t>Verification receipts are intentionally weaker than authority. The baseline receipt profile records unverified metadata: verification_state=unsupported, receipt_state=unverified-metadata, cryptographic_verification_performed=0, verified=0, authority_usable=0, capability_gate_allowed=0, and runtime_authority_granted=0. A later verified receipt promotion may change the evidence state to verified, but not the permission state.</w:t>
      </w:r>
    </w:p>
    <w:p>
      <w:pPr>
        <w:pStyle w:val="BodyTight"/>
      </w:pPr>
      <w:r>
        <w:rPr>
          <w:rFonts w:ascii="Liberation Serif" w:hAnsi="Liberation Serif" w:eastAsia="Liberation Serif"/>
        </w:rPr>
        <w:t>The crypto verify backend remains the metadata boundary that names the provider path. The later Ed25519 verify-only result surface is separate: it can perform a local provider-backed verification over caller-supplied bytes, while the backend contract still carries no trust store, revocation lookup, network behavior, capability authorization, or runtime authority. Post-quantum algorithm labels such as ML-DSA-planned and SLH-DSA-planned remain roadmap vocabulary, not current verification support.</w:t>
      </w:r>
    </w:p>
    <w:p>
      <w:pPr>
        <w:pStyle w:val="BodyTight"/>
      </w:pPr>
      <w:r>
        <w:t>Capability gates, verified effect decisions, runtime handoff reports, report envelopes, and signature requests close the current ladder. A verified capability gate may set gate_allowed=1; a verified effect decision may set effect_allowed=1; a runtime handoff evaluation may set handoff_eligible=1; a runtime handoff report may set report_ready=1; a report envelope may set envelope_ready=1; and a signature request may set signature_request_ready=1. None of those flags means an effect ran, a handoff happened, an object was sealed, a signature was produced, or authority was granted.</w:t>
      </w:r>
    </w:p>
    <w:p>
      <w:pPr>
        <w:pStyle w:val="Heading2"/>
      </w:pPr>
      <w:r>
        <w:rPr>
          <w:rFonts w:ascii="Liberation Serif" w:hAnsi="Liberation Serif" w:eastAsia="Liberation Serif"/>
        </w:rPr>
        <w:t>5.7 Ed25519 verify-only and verified receipt promotion</w:t>
      </w:r>
    </w:p>
    <w:p>
      <w:pPr>
        <w:pStyle w:val="BodyTight"/>
      </w:pPr>
      <w:r>
        <w:rPr>
          <w:rFonts w:ascii="Liberation Serif" w:hAnsi="Liberation Serif" w:eastAsia="Liberation Serif"/>
        </w:rPr>
        <w:t>The first real cryptographic operation in the current Seal lane is local Ed25519 verify-only. It accepts caller-supplied message bytes, caller-supplied 32-byte Ed25519 public-key bytes, caller-supplied 64-byte signature bytes, and an existing crypto verify backend metadata record. It uses OpenSSL EVP rather than handwritten curve arithmetic, computes a SHA-256 message digest for reporting, and renders deterministic result metadata.</w:t>
      </w:r>
    </w:p>
    <w:p>
      <w:pPr>
        <w:pStyle w:val="BodyTight"/>
      </w:pPr>
      <w:r>
        <w:rPr>
          <w:rFonts w:ascii="Liberation Serif" w:hAnsi="Liberation Serif" w:eastAsia="Liberation Serif"/>
        </w:rPr>
        <w:t>A successful verify-only result may set crypto_verify_state=verified, cryptographic_verification_supported=1, cryptographic_verification_performed=1, verified=1, invalid=0, and status=ed25519-verified. That is a meaningful evidence upgrade, but it is not a trust-store result, not revocation checking, not signing, not private-key handling, not production cryptography certification, and not authority.</w:t>
      </w:r>
    </w:p>
    <w:p>
      <w:pPr>
        <w:pStyle w:val="BodyTight"/>
      </w:pPr>
      <w:r>
        <w:rPr>
          <w:rFonts w:ascii="Liberation Serif" w:hAnsi="Liberation Serif" w:eastAsia="Liberation Serif"/>
        </w:rPr>
        <w:t>Verified receipt promotion consumes only a successful Ed25519 verify-only result and turns it into deterministic verified receipt metadata: verification_state=verified, receipt_state=verified, cryptographic_verification_performed=1, and verified=1. The promotion is evidence promotion, not permission promotion. It must preserve authority_usable=0, capability_gate_allowed=0, runtime_authority_granted=0, capability_authorization_added=0, effect_execution_added=0, host behavior unchanged, and network behavior unchanged.</w:t>
      </w:r>
    </w:p>
    <w:p>
      <w:pPr>
        <w:pStyle w:val="BodyTight"/>
      </w:pPr>
      <w:r>
        <w:rPr>
          <w:rFonts w:ascii="Liberation Serif" w:hAnsi="Liberation Serif" w:eastAsia="Liberation Serif"/>
        </w:rPr>
        <w:t>This distinction is now central to the Seal story. Latticra can say that local verify-only evidence and authority-neutral verified receipt metadata exist. It still must not say that verified receipts authorize capabilities, execute effects, contact trust infrastructure, enforce runtime behavior, or make production security claims.</w:t>
      </w:r>
    </w:p>
    <w:p>
      <w:pPr>
        <w:pStyle w:val="Heading2"/>
      </w:pPr>
      <w:r>
        <w:rPr>
          <w:rFonts w:ascii="Liberation Serif" w:hAnsi="Liberation Serif" w:eastAsia="Liberation Serif"/>
        </w:rPr>
        <w:t>5.8 Verified capability gate metadata</w:t>
      </w:r>
    </w:p>
    <w:p>
      <w:pPr>
        <w:pStyle w:val="BodyTight"/>
      </w:pPr>
      <w:r>
        <w:rPr>
          <w:rFonts w:ascii="Liberation Serif" w:hAnsi="Liberation Serif" w:eastAsia="Liberation Serif"/>
        </w:rPr>
        <w:t>The verified capability gate consumes verified receipt promotion metadata plus requested capability, effect, and scope labels. Its initial allowlist is intentionally narrow: verified-receipt-inspection and verified-receipt-report as capability labels, and report-only or evaluate-only as effect labels.</w:t>
      </w:r>
    </w:p>
    <w:p>
      <w:pPr>
        <w:pStyle w:val="BodyTight"/>
      </w:pPr>
      <w:r>
        <w:rPr>
          <w:rFonts w:ascii="Liberation Serif" w:hAnsi="Liberation Serif" w:eastAsia="Liberation Serif"/>
        </w:rPr>
        <w:t>A successful metadata-only gate may set gate_allowed=1 and gate_state=allowed-metadata-only. That phrase must be read literally. It means the gate evaluation accepted a local metadata request; it does not mean capability enforcement, effect execution, host reads, host writes, network access, tool execution, shell execution, policy persistence, or runtime authority.</w:t>
      </w:r>
    </w:p>
    <w:p>
      <w:pPr>
        <w:pStyle w:val="BodyTight"/>
      </w:pPr>
      <w:r>
        <w:t>The current status shape is therefore subtle and useful: receipt_state=verified, verification_state=verified, verified=1, gate_allowed=1, gate_state=allowed-metadata-only, authority_usable=0, receipt_capability_gate_allowed=0, runtime_authority_granted=0, effect_performed=0, host_read_performed=0, host_write_performed=0, and network_performed=0. The next valid rung is verified effect decision evaluation from an allowed metadata-only gate.</w:t>
      </w:r>
    </w:p>
    <w:p>
      <w:pPr>
        <w:pStyle w:val="Heading2"/>
      </w:pPr>
      <w:r>
        <w:t>5.9 Verified effect decision metadata</w:t>
      </w:r>
    </w:p>
    <w:p>
      <w:pPr>
        <w:pStyle w:val="BodyTight"/>
      </w:pPr>
      <w:r>
        <w:t>The verified effect decision consumes an allowed verified capability gate and a requested effect label. Its narrow policy accepts only report-only and evaluate-only requests from gate_state=allowed-metadata-only, with gate_allowed=1 and all performed/authority fields still zero.</w:t>
      </w:r>
    </w:p>
    <w:p>
      <w:pPr>
        <w:pStyle w:val="BodyTight"/>
      </w:pPr>
      <w:r>
        <w:t>A successful decision may set effect_allowed=1 and decision_state=allowed-report-only or decision_state=allowed-evaluate-only. That is effect classification metadata, not effect execution. It must preserve effect_performed=0, runtime_authority_granted=0, host_read_performed=0, host_write_performed=0, and network_performed=0.</w:t>
      </w:r>
    </w:p>
    <w:p>
      <w:pPr>
        <w:pStyle w:val="Heading2"/>
      </w:pPr>
      <w:r>
        <w:t>5.10 Runtime handoff evaluation and report metadata</w:t>
      </w:r>
    </w:p>
    <w:p>
      <w:pPr>
        <w:pStyle w:val="BodyTight"/>
      </w:pPr>
      <w:r>
        <w:t>Runtime handoff evaluation consumes a metadata-only verified effect decision and asks whether it is eligible to be described as a future handoff candidate. A successful evaluation may set handoff_eligible=1 and handoff_state=eligible-report-only or eligible-evaluate-only while still preserving handoff_performed=0 and runtime_authority_granted=0.</w:t>
      </w:r>
    </w:p>
    <w:p>
      <w:pPr>
        <w:pStyle w:val="BodyTight"/>
      </w:pPr>
      <w:r>
        <w:t>The runtime handoff report layer consumes eligible handoff evaluation metadata and produces report-readiness metadata. It may set report_ready=1 and report_state=ready-report-only or ready-evaluate-only, but it still does not perform a runtime handoff, execute an effect, enforce a capability, read or write host state, contact a network, or grant authority.</w:t>
      </w:r>
    </w:p>
    <w:p>
      <w:pPr>
        <w:pStyle w:val="Heading2"/>
      </w:pPr>
      <w:r>
        <w:t>5.11 Report envelope and signature request metadata</w:t>
      </w:r>
    </w:p>
    <w:p>
      <w:pPr>
        <w:pStyle w:val="BodyTight"/>
      </w:pPr>
      <w:r>
        <w:t>The report envelope layer consumes ready runtime handoff report metadata and classifies whether a report/evaluate record may be wrapped into deterministic envelope metadata. A successful envelope may set envelope_ready=1 and envelope_state=sealed-report-only or sealed-evaluate-only, but the name is deliberately narrow: it is metadata-only, unsigned, object-unsealed, and authority-neutral.</w:t>
      </w:r>
    </w:p>
    <w:p>
      <w:pPr>
        <w:pStyle w:val="BodyTight"/>
      </w:pPr>
      <w:r>
        <w:t>The signature request layer consumes ready report-envelope metadata and classifies an Ed25519-development request label as signature_request_state=requested-metadata-only with signature_request_ready=1. It is request classification, not signing or verification. It must preserve signature_performed=0, verification_performed=0, private_key_handling=0, handoff_performed=0, effect_performed=0, runtime_authority_granted=0, host_read_performed=0, host_write_performed=0, and network_performed=0.</w:t>
      </w:r>
    </w:p>
    <w:p>
      <w:pPr>
        <w:pStyle w:val="Heading1"/>
      </w:pPr>
      <w:r>
        <w:rPr>
          <w:rFonts w:ascii="Liberation Serif" w:hAnsi="Liberation Serif"/>
        </w:rPr>
        <w:t>Chapter 6. Panel, Installer, and Receipts</w:t>
      </w:r>
    </w:p>
    <w:p>
      <w:pPr>
        <w:pStyle w:val="Lead"/>
      </w:pPr>
      <w:r>
        <w:rPr>
          <w:rFonts w:ascii="Liberation Serif" w:hAnsi="Liberation Serif"/>
        </w:rPr>
        <w:t>The Panel and installer are the human-facing path into the substrate. Their job is to make plans, effects, and authority visible before anything effectful happens.</w:t>
      </w:r>
    </w:p>
    <w:p>
      <w:pPr>
        <w:pStyle w:val="BodyTight"/>
      </w:pPr>
      <w:r>
        <w:rPr>
          <w:rFonts w:ascii="Liberation Serif" w:hAnsi="Liberation Serif"/>
        </w:rPr>
        <w:t>The broader project evidence shows Latticra Panel as a graphical local installer and control panel for Latticra, Lat, LIR, and Latticra Seal. It includes workflows for safe dry-run, guarded user-local installation, verification, and launch. This should be interpreted as a local developer/operator interface, not as a host security authority.</w:t>
      </w:r>
    </w:p>
    <w:p>
      <w:pPr>
        <w:pStyle w:val="Heading2"/>
      </w:pPr>
      <w:r>
        <w:rPr>
          <w:rFonts w:ascii="Liberation Serif" w:hAnsi="Liberation Serif"/>
        </w:rPr>
        <w:t>6.1 Why a Panel matters</w:t>
      </w:r>
    </w:p>
    <w:p>
      <w:pPr>
        <w:pStyle w:val="BodyTight"/>
      </w:pPr>
      <w:r>
        <w:rPr>
          <w:rFonts w:ascii="Liberation Serif" w:hAnsi="Liberation Serif"/>
        </w:rPr>
        <w:t>A command-line tool can document authority, but a graphical installer can either clarify or obscure it. Latticra Panel should be designed to clarify. It should make authority visible in the UI, show whether the current action is dry-run or guarded local-prefix install, surface the plan and receipt paths, and keep network/root/runtime authority disabled unless future work explicitly implements and tests a controlled lane.</w:t>
      </w:r>
    </w:p>
    <w:tbl>
      <w:tblPr>
        <w:tblStyle w:val="TableGrid"/>
        <w:tblW w:type="auto" w:w="0"/>
        <w:jc w:val="center"/>
        <w:tblLook w:firstColumn="1" w:firstRow="1" w:lastColumn="0" w:lastRow="0" w:noHBand="0" w:noVBand="1" w:val="04A0"/>
      </w:tblPr>
      <w:tblGrid>
        <w:gridCol w:w="3331"/>
        <w:gridCol w:w="3331"/>
        <w:gridCol w:w="3331"/>
      </w:tblGrid>
      <w:tr>
        <w:tc>
          <w:tcPr>
            <w:tcW w:type="dxa" w:w="2448"/>
            <w:shd w:fill="E2E8F0"/>
            <w:tcMar>
              <w:top w:w="70" w:type="dxa"/>
              <w:start w:w="70" w:type="dxa"/>
              <w:bottom w:w="70" w:type="dxa"/>
              <w:end w:w="70" w:type="dxa"/>
            </w:tcMar>
            <w:vAlign w:val="center"/>
          </w:tcPr>
          <w:p>
            <w:r/>
            <w:r>
              <w:rPr>
                <w:rFonts w:ascii="Liberation Sans" w:hAnsi="Liberation Sans"/>
                <w:b/>
                <w:color w:val="0F172A"/>
                <w:sz w:val="17"/>
              </w:rPr>
              <w:t>Panel action</w:t>
            </w:r>
          </w:p>
        </w:tc>
        <w:tc>
          <w:tcPr>
            <w:tcW w:type="dxa" w:w="3888"/>
            <w:shd w:fill="E2E8F0"/>
            <w:tcMar>
              <w:top w:w="70" w:type="dxa"/>
              <w:start w:w="70" w:type="dxa"/>
              <w:bottom w:w="70" w:type="dxa"/>
              <w:end w:w="70" w:type="dxa"/>
            </w:tcMar>
            <w:vAlign w:val="center"/>
          </w:tcPr>
          <w:p>
            <w:r/>
            <w:r>
              <w:rPr>
                <w:rFonts w:ascii="Liberation Sans" w:hAnsi="Liberation Sans"/>
                <w:b/>
                <w:color w:val="0F172A"/>
                <w:sz w:val="17"/>
              </w:rPr>
              <w:t>Expected effect</w:t>
            </w:r>
          </w:p>
        </w:tc>
        <w:tc>
          <w:tcPr>
            <w:tcW w:type="dxa" w:w="3240"/>
            <w:shd w:fill="E2E8F0"/>
            <w:tcMar>
              <w:top w:w="70" w:type="dxa"/>
              <w:start w:w="70" w:type="dxa"/>
              <w:bottom w:w="70" w:type="dxa"/>
              <w:end w:w="70" w:type="dxa"/>
            </w:tcMar>
            <w:vAlign w:val="center"/>
          </w:tcPr>
          <w:p>
            <w:r/>
            <w:r>
              <w:rPr>
                <w:rFonts w:ascii="Liberation Sans" w:hAnsi="Liberation Sans"/>
                <w:b/>
                <w:color w:val="0F172A"/>
                <w:sz w:val="17"/>
              </w:rPr>
              <w:t>Boundary</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Save configuration</w:t>
            </w:r>
          </w:p>
        </w:tc>
        <w:tc>
          <w:tcPr>
            <w:tcW w:type="dxa" w:w="3888"/>
            <w:tcMar>
              <w:top w:w="60" w:type="dxa"/>
              <w:start w:w="70" w:type="dxa"/>
              <w:bottom w:w="60" w:type="dxa"/>
              <w:end w:w="70" w:type="dxa"/>
            </w:tcMar>
            <w:vAlign w:val="top"/>
          </w:tcPr>
          <w:p>
            <w:pPr>
              <w:spacing w:after="0"/>
            </w:pPr>
            <w:r/>
            <w:r>
              <w:rPr>
                <w:rFonts w:ascii="Liberation Sans" w:hAnsi="Liberation Sans"/>
                <w:color w:val="0F172A"/>
                <w:sz w:val="16"/>
              </w:rPr>
              <w:t>Write local installer config.</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Local file write; no host-wide mutation.</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Generate plan</w:t>
            </w:r>
          </w:p>
        </w:tc>
        <w:tc>
          <w:tcPr>
            <w:tcW w:type="dxa" w:w="3888"/>
            <w:tcMar>
              <w:top w:w="60" w:type="dxa"/>
              <w:start w:w="70" w:type="dxa"/>
              <w:bottom w:w="60" w:type="dxa"/>
              <w:end w:w="70" w:type="dxa"/>
            </w:tcMar>
            <w:vAlign w:val="top"/>
          </w:tcPr>
          <w:p>
            <w:pPr>
              <w:spacing w:after="0"/>
            </w:pPr>
            <w:r/>
            <w:r>
              <w:rPr>
                <w:rFonts w:ascii="Liberation Sans" w:hAnsi="Liberation Sans"/>
                <w:color w:val="0F172A"/>
                <w:sz w:val="16"/>
              </w:rPr>
              <w:t>Write or refresh install plan.</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Evidence output.</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Run dry-install</w:t>
            </w:r>
          </w:p>
        </w:tc>
        <w:tc>
          <w:tcPr>
            <w:tcW w:type="dxa" w:w="3888"/>
            <w:tcMar>
              <w:top w:w="60" w:type="dxa"/>
              <w:start w:w="70" w:type="dxa"/>
              <w:bottom w:w="60" w:type="dxa"/>
              <w:end w:w="70" w:type="dxa"/>
            </w:tcMar>
            <w:vAlign w:val="top"/>
          </w:tcPr>
          <w:p>
            <w:pPr>
              <w:spacing w:after="0"/>
            </w:pPr>
            <w:r/>
            <w:r>
              <w:rPr>
                <w:rFonts w:ascii="Liberation Sans" w:hAnsi="Liberation Sans"/>
                <w:color w:val="0F172A"/>
                <w:sz w:val="16"/>
              </w:rPr>
              <w:t>Validate configuration and write dry-run receipt.</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No host mutation.</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Install guarded local prefix</w:t>
            </w:r>
          </w:p>
        </w:tc>
        <w:tc>
          <w:tcPr>
            <w:tcW w:type="dxa" w:w="3888"/>
            <w:tcMar>
              <w:top w:w="60" w:type="dxa"/>
              <w:start w:w="70" w:type="dxa"/>
              <w:bottom w:w="60" w:type="dxa"/>
              <w:end w:w="70" w:type="dxa"/>
            </w:tcMar>
            <w:vAlign w:val="top"/>
          </w:tcPr>
          <w:p>
            <w:pPr>
              <w:spacing w:after="0"/>
            </w:pPr>
            <w:r/>
            <w:r>
              <w:rPr>
                <w:rFonts w:ascii="Liberation Sans" w:hAnsi="Liberation Sans"/>
                <w:color w:val="0F172A"/>
                <w:sz w:val="16"/>
              </w:rPr>
              <w:t>Write under allowed user-local prefix.</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No root/system mutation; receipt required.</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Open evidence</w:t>
            </w:r>
          </w:p>
        </w:tc>
        <w:tc>
          <w:tcPr>
            <w:tcW w:type="dxa" w:w="3888"/>
            <w:tcMar>
              <w:top w:w="60" w:type="dxa"/>
              <w:start w:w="70" w:type="dxa"/>
              <w:bottom w:w="60" w:type="dxa"/>
              <w:end w:w="70" w:type="dxa"/>
            </w:tcMar>
            <w:vAlign w:val="top"/>
          </w:tcPr>
          <w:p>
            <w:pPr>
              <w:spacing w:after="0"/>
            </w:pPr>
            <w:r/>
            <w:r>
              <w:rPr>
                <w:rFonts w:ascii="Liberation Sans" w:hAnsi="Liberation Sans"/>
                <w:color w:val="0F172A"/>
                <w:sz w:val="16"/>
              </w:rPr>
              <w:t>Show plan/report/receipt material.</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Read/display only.</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Change Seal profile</w:t>
            </w:r>
          </w:p>
        </w:tc>
        <w:tc>
          <w:tcPr>
            <w:tcW w:type="dxa" w:w="3888"/>
            <w:tcMar>
              <w:top w:w="60" w:type="dxa"/>
              <w:start w:w="70" w:type="dxa"/>
              <w:bottom w:w="60" w:type="dxa"/>
              <w:end w:w="70" w:type="dxa"/>
            </w:tcMar>
            <w:vAlign w:val="top"/>
          </w:tcPr>
          <w:p>
            <w:pPr>
              <w:spacing w:after="0"/>
            </w:pPr>
            <w:r/>
            <w:r>
              <w:rPr>
                <w:rFonts w:ascii="Liberation Sans" w:hAnsi="Liberation Sans"/>
                <w:color w:val="0F172A"/>
                <w:sz w:val="16"/>
              </w:rPr>
              <w:t>Select intended crypto/report posture.</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No signing/encryption unless implemented and tested.</w:t>
            </w:r>
          </w:p>
        </w:tc>
      </w:tr>
    </w:tbl>
    <w:p>
      <w:pPr>
        <w:pStyle w:val="BodyTight"/>
      </w:pPr>
    </w:p>
    <w:p>
      <w:pPr>
        <w:pStyle w:val="Heading2"/>
      </w:pPr>
      <w:r>
        <w:rPr>
          <w:rFonts w:ascii="Liberation Serif" w:hAnsi="Liberation Serif"/>
        </w:rPr>
        <w:t>6.2 Guarded local-prefix installation</w:t>
      </w:r>
    </w:p>
    <w:p>
      <w:pPr>
        <w:pStyle w:val="BodyTight"/>
      </w:pPr>
      <w:r>
        <w:rPr>
          <w:rFonts w:ascii="Liberation Serif" w:hAnsi="Liberation Serif"/>
        </w:rPr>
        <w:t>The installer lane is a concrete example of Latticra thinking. A dry-run can generate a plan and receipt without mutating the host. A guarded local-prefix installation can write under a user-local prefix and install wrappers, docs, examples, component markers, and receipts. It should refuse root authority, network authority, and runtime enforcement authority in the current stage.</w:t>
      </w:r>
    </w:p>
    <w:p>
      <w:pPr>
        <w:pStyle w:val="CaptionSmall"/>
      </w:pPr>
      <w:r>
        <w:rPr>
          <w:rFonts w:ascii="Liberation Serif" w:hAnsi="Liberation Serif"/>
        </w:rPr>
        <w:t>Example 6.1 - Current safe installer workflow shape.</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make -C installer dry-run</w:t>
            </w:r>
            <w:r>
              <w:br/>
            </w:r>
            <w:r>
              <w:rPr>
                <w:rFonts w:ascii="Liberation Mono" w:hAnsi="Liberation Mono"/>
                <w:sz w:val="16"/>
              </w:rPr>
              <w:t>make -C installer local-example</w:t>
            </w:r>
            <w:r>
              <w:br/>
            </w:r>
            <w:r>
              <w:rPr>
                <w:rFonts w:ascii="Liberation Mono" w:hAnsi="Liberation Mono"/>
                <w:sz w:val="16"/>
              </w:rPr>
              <w:t>make -C installer verify-local</w:t>
            </w:r>
            <w:r>
              <w:br/>
            </w:r>
            <w:r>
              <w:rPr>
                <w:rFonts w:ascii="Liberation Mono" w:hAnsi="Liberation Mono"/>
                <w:sz w:val="16"/>
              </w:rPr>
              <w:t>make -C installer uninstall-local</w:t>
            </w:r>
            <w:r>
              <w:br/>
            </w:r>
            <w:r>
              <w:rPr>
                <w:rFonts w:ascii="Liberation Mono" w:hAnsi="Liberation Mono"/>
                <w:sz w:val="16"/>
              </w:rPr>
            </w:r>
            <w:r>
              <w:br/>
            </w:r>
            <w:r>
              <w:rPr>
                <w:rFonts w:ascii="Liberation Mono" w:hAnsi="Liberation Mono"/>
                <w:sz w:val="16"/>
              </w:rPr>
              <w:t># Expected current posture:</w:t>
            </w:r>
            <w:r>
              <w:br/>
            </w:r>
            <w:r>
              <w:rPr>
                <w:rFonts w:ascii="Liberation Mono" w:hAnsi="Liberation Mono"/>
                <w:sz w:val="16"/>
              </w:rPr>
              <w:t># - user-local prefix</w:t>
            </w:r>
            <w:r>
              <w:br/>
            </w:r>
            <w:r>
              <w:rPr>
                <w:rFonts w:ascii="Liberation Mono" w:hAnsi="Liberation Mono"/>
                <w:sz w:val="16"/>
              </w:rPr>
              <w:t># - no root authority</w:t>
            </w:r>
            <w:r>
              <w:br/>
            </w:r>
            <w:r>
              <w:rPr>
                <w:rFonts w:ascii="Liberation Mono" w:hAnsi="Liberation Mono"/>
                <w:sz w:val="16"/>
              </w:rPr>
              <w:t># - no network authority</w:t>
            </w:r>
            <w:r>
              <w:br/>
            </w:r>
            <w:r>
              <w:rPr>
                <w:rFonts w:ascii="Liberation Mono" w:hAnsi="Liberation Mono"/>
                <w:sz w:val="16"/>
              </w:rPr>
              <w:t># - no kernel/systemd/SELinux modification</w:t>
            </w:r>
            <w:r>
              <w:br/>
            </w:r>
            <w:r>
              <w:rPr>
                <w:rFonts w:ascii="Liberation Mono" w:hAnsi="Liberation Mono"/>
                <w:sz w:val="16"/>
              </w:rPr>
              <w:t># - operator receipt required</w:t>
            </w:r>
          </w:p>
        </w:tc>
      </w:tr>
    </w:tbl>
    <w:p>
      <w:pPr>
        <w:pStyle w:val="BodyTight"/>
      </w:pPr>
    </w:p>
    <w:p>
      <w:pPr>
        <w:pStyle w:val="Heading2"/>
      </w:pPr>
      <w:r>
        <w:rPr>
          <w:rFonts w:ascii="Liberation Serif" w:hAnsi="Liberation Serif"/>
        </w:rPr>
        <w:t>6.3 Receipts as substrate objects</w:t>
      </w:r>
    </w:p>
    <w:p>
      <w:pPr>
        <w:pStyle w:val="BodyTight"/>
      </w:pPr>
      <w:r>
        <w:rPr>
          <w:rFonts w:ascii="Liberation Serif" w:hAnsi="Liberation Serif"/>
        </w:rPr>
        <w:t>A receipt is not merely a log. It is a structured witness that an effect happened or would have happened. In Latticra, receipts should say when an action occurred, which mode was used, which prefix was targeted, which plan/config was used, which paths were written, and which authorities were not used.</w:t>
      </w:r>
    </w:p>
    <w:tbl>
      <w:tblPr>
        <w:tblStyle w:val="TableGrid"/>
        <w:tblW w:type="auto" w:w="0"/>
        <w:jc w:val="center"/>
        <w:tblLook w:firstColumn="1" w:firstRow="1" w:lastColumn="0" w:lastRow="0" w:noHBand="0" w:noVBand="1" w:val="04A0"/>
      </w:tblPr>
      <w:tblGrid>
        <w:gridCol w:w="4997"/>
        <w:gridCol w:w="4997"/>
      </w:tblGrid>
      <w:tr>
        <w:tc>
          <w:tcPr>
            <w:tcW w:type="dxa" w:w="2304"/>
            <w:shd w:fill="E2E8F0"/>
            <w:tcMar>
              <w:top w:w="70" w:type="dxa"/>
              <w:start w:w="70" w:type="dxa"/>
              <w:bottom w:w="70" w:type="dxa"/>
              <w:end w:w="70" w:type="dxa"/>
            </w:tcMar>
            <w:vAlign w:val="center"/>
          </w:tcPr>
          <w:p>
            <w:r/>
            <w:r>
              <w:rPr>
                <w:rFonts w:ascii="Liberation Sans" w:hAnsi="Liberation Sans"/>
                <w:b/>
                <w:color w:val="0F172A"/>
                <w:sz w:val="17"/>
              </w:rPr>
              <w:t>Receipt field</w:t>
            </w:r>
          </w:p>
        </w:tc>
        <w:tc>
          <w:tcPr>
            <w:tcW w:type="dxa" w:w="7056"/>
            <w:shd w:fill="E2E8F0"/>
            <w:tcMar>
              <w:top w:w="70" w:type="dxa"/>
              <w:start w:w="70" w:type="dxa"/>
              <w:bottom w:w="70" w:type="dxa"/>
              <w:end w:w="70" w:type="dxa"/>
            </w:tcMar>
            <w:vAlign w:val="center"/>
          </w:tcPr>
          <w:p>
            <w:r/>
            <w:r>
              <w:rPr>
                <w:rFonts w:ascii="Liberation Sans" w:hAnsi="Liberation Sans"/>
                <w:b/>
                <w:color w:val="0F172A"/>
                <w:sz w:val="17"/>
              </w:rPr>
              <w:t>Reason</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timestamp_utc</w:t>
            </w:r>
          </w:p>
        </w:tc>
        <w:tc>
          <w:tcPr>
            <w:tcW w:type="dxa" w:w="7056"/>
            <w:tcMar>
              <w:top w:w="60" w:type="dxa"/>
              <w:start w:w="70" w:type="dxa"/>
              <w:bottom w:w="60" w:type="dxa"/>
              <w:end w:w="70" w:type="dxa"/>
            </w:tcMar>
            <w:vAlign w:val="top"/>
          </w:tcPr>
          <w:p>
            <w:pPr>
              <w:spacing w:after="0"/>
            </w:pPr>
            <w:r/>
            <w:r>
              <w:rPr>
                <w:rFonts w:ascii="Liberation Sans" w:hAnsi="Liberation Sans"/>
                <w:color w:val="0F172A"/>
                <w:sz w:val="16"/>
              </w:rPr>
              <w:t>Makes the action temporally reproducible.</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mode</w:t>
            </w:r>
          </w:p>
        </w:tc>
        <w:tc>
          <w:tcPr>
            <w:tcW w:type="dxa" w:w="7056"/>
            <w:tcMar>
              <w:top w:w="60" w:type="dxa"/>
              <w:start w:w="70" w:type="dxa"/>
              <w:bottom w:w="60" w:type="dxa"/>
              <w:end w:w="70" w:type="dxa"/>
            </w:tcMar>
            <w:vAlign w:val="top"/>
          </w:tcPr>
          <w:p>
            <w:pPr>
              <w:spacing w:after="0"/>
            </w:pPr>
            <w:r/>
            <w:r>
              <w:rPr>
                <w:rFonts w:ascii="Liberation Sans" w:hAnsi="Liberation Sans"/>
                <w:color w:val="0F172A"/>
                <w:sz w:val="16"/>
              </w:rPr>
              <w:t>Distinguishes dry-run from local-prefix install.</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result</w:t>
            </w:r>
          </w:p>
        </w:tc>
        <w:tc>
          <w:tcPr>
            <w:tcW w:type="dxa" w:w="7056"/>
            <w:tcMar>
              <w:top w:w="60" w:type="dxa"/>
              <w:start w:w="70" w:type="dxa"/>
              <w:bottom w:w="60" w:type="dxa"/>
              <w:end w:w="70" w:type="dxa"/>
            </w:tcMar>
            <w:vAlign w:val="top"/>
          </w:tcPr>
          <w:p>
            <w:pPr>
              <w:spacing w:after="0"/>
            </w:pPr>
            <w:r/>
            <w:r>
              <w:rPr>
                <w:rFonts w:ascii="Liberation Sans" w:hAnsi="Liberation Sans"/>
                <w:color w:val="0F172A"/>
                <w:sz w:val="16"/>
              </w:rPr>
              <w:t>Records success, failure, or denial.</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install_prefix</w:t>
            </w:r>
          </w:p>
        </w:tc>
        <w:tc>
          <w:tcPr>
            <w:tcW w:type="dxa" w:w="7056"/>
            <w:tcMar>
              <w:top w:w="60" w:type="dxa"/>
              <w:start w:w="70" w:type="dxa"/>
              <w:bottom w:w="60" w:type="dxa"/>
              <w:end w:w="70" w:type="dxa"/>
            </w:tcMar>
            <w:vAlign w:val="top"/>
          </w:tcPr>
          <w:p>
            <w:pPr>
              <w:spacing w:after="0"/>
            </w:pPr>
            <w:r/>
            <w:r>
              <w:rPr>
                <w:rFonts w:ascii="Liberation Sans" w:hAnsi="Liberation Sans"/>
                <w:color w:val="0F172A"/>
                <w:sz w:val="16"/>
              </w:rPr>
              <w:t>Defines the write boundary.</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config and plan</w:t>
            </w:r>
          </w:p>
        </w:tc>
        <w:tc>
          <w:tcPr>
            <w:tcW w:type="dxa" w:w="7056"/>
            <w:tcMar>
              <w:top w:w="60" w:type="dxa"/>
              <w:start w:w="70" w:type="dxa"/>
              <w:bottom w:w="60" w:type="dxa"/>
              <w:end w:w="70" w:type="dxa"/>
            </w:tcMar>
            <w:vAlign w:val="top"/>
          </w:tcPr>
          <w:p>
            <w:pPr>
              <w:spacing w:after="0"/>
            </w:pPr>
            <w:r/>
            <w:r>
              <w:rPr>
                <w:rFonts w:ascii="Liberation Sans" w:hAnsi="Liberation Sans"/>
                <w:color w:val="0F172A"/>
                <w:sz w:val="16"/>
              </w:rPr>
              <w:t>Links decision input to effect output.</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installed_paths</w:t>
            </w:r>
          </w:p>
        </w:tc>
        <w:tc>
          <w:tcPr>
            <w:tcW w:type="dxa" w:w="7056"/>
            <w:tcMar>
              <w:top w:w="60" w:type="dxa"/>
              <w:start w:w="70" w:type="dxa"/>
              <w:bottom w:w="60" w:type="dxa"/>
              <w:end w:w="70" w:type="dxa"/>
            </w:tcMar>
            <w:vAlign w:val="top"/>
          </w:tcPr>
          <w:p>
            <w:pPr>
              <w:spacing w:after="0"/>
            </w:pPr>
            <w:r/>
            <w:r>
              <w:rPr>
                <w:rFonts w:ascii="Liberation Sans" w:hAnsi="Liberation Sans"/>
                <w:color w:val="0F172A"/>
                <w:sz w:val="16"/>
              </w:rPr>
              <w:t>Shows exactly which local areas changed.</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authority flags</w:t>
            </w:r>
          </w:p>
        </w:tc>
        <w:tc>
          <w:tcPr>
            <w:tcW w:type="dxa" w:w="7056"/>
            <w:tcMar>
              <w:top w:w="60" w:type="dxa"/>
              <w:start w:w="70" w:type="dxa"/>
              <w:bottom w:w="60" w:type="dxa"/>
              <w:end w:w="70" w:type="dxa"/>
            </w:tcMar>
            <w:vAlign w:val="top"/>
          </w:tcPr>
          <w:p>
            <w:pPr>
              <w:spacing w:after="0"/>
            </w:pPr>
            <w:r/>
            <w:r>
              <w:rPr>
                <w:rFonts w:ascii="Liberation Sans" w:hAnsi="Liberation Sans"/>
                <w:color w:val="0F172A"/>
                <w:sz w:val="16"/>
              </w:rPr>
              <w:t>Prevents hidden root/network/runtime assumptions.</w:t>
            </w:r>
          </w:p>
        </w:tc>
      </w:tr>
    </w:tbl>
    <w:p>
      <w:pPr>
        <w:pStyle w:val="BodyTight"/>
      </w:pPr>
    </w:p>
    <w:p>
      <w:pPr>
        <w:pStyle w:val="BodyTight"/>
      </w:pPr>
      <w:r>
        <w:rPr>
          <w:rFonts w:ascii="Liberation Serif" w:hAnsi="Liberation Serif"/>
        </w:rPr>
        <w:t>Receipts are how Latticra makes installation security a data problem. Instead of asking whether an installer is trusted in the abstract, the reader asks which effects it recorded and whether those effects fit the declared authority vector.</w:t>
      </w:r>
    </w:p>
    <w:p>
      <w:pPr>
        <w:pStyle w:val="Heading2"/>
      </w:pPr>
      <w:r>
        <w:t>6.4 Platform install lanes</w:t>
      </w:r>
    </w:p>
    <w:p>
      <w:pPr>
        <w:pStyle w:val="BodyTight"/>
      </w:pPr>
      <w:r>
        <w:t>Platform install work belongs in the substrate only when the target, authority, transcript, and rollback story are named. Latticra now has enough macOS and Fedora evidence to describe platform lanes, but the lanes remain deliberately short of production installer readiness.</w:t>
      </w:r>
    </w:p>
    <w:p>
      <w:pPr>
        <w:pStyle w:val="ListBullet"/>
      </w:pPr>
      <w:r>
        <w:t>The macOS lane is user-local and no-effect today: app bundle writer dry-runs, local candidate probes, commit-gate reports, reset/uninstall dry-run contracts, and verification-transcript contracts define what a future managed writer must prove before any app bundle or Application Support file is written.</w:t>
      </w:r>
    </w:p>
    <w:p>
      <w:pPr>
        <w:pStyle w:val="ListBullet"/>
      </w:pPr>
      <w:r>
        <w:t>The Fedora lane distinguishes controlled installroot and disposable-VM RPM validation from live-host installation. It can build or inspect local RPM payloads under explicit gates, but Fedora approval, immutable-host support, daily-driver readiness, and production installer readiness stay false.</w:t>
      </w:r>
    </w:p>
    <w:p>
      <w:pPr>
        <w:pStyle w:val="ListBullet"/>
      </w:pPr>
      <w:r>
        <w:t>The production installer readiness contract is the promotion boundary. It requires reproducible artifacts, checksums, signatures, SBOM/license metadata, install/uninstall/rollback transcripts, unsupported-target blocking, multi-VM validation, and public non-claims before production_installer_ready can ever become 1.</w:t>
      </w:r>
    </w:p>
    <w:p>
      <w:pPr>
        <w:pStyle w:val="Heading2"/>
      </w:pPr>
      <w:r>
        <w:t>6.5 Latticra Console receipt and host contract bridge</w:t>
      </w:r>
    </w:p>
    <w:p>
      <w:pPr>
        <w:pStyle w:val="BodyTight"/>
      </w:pPr>
      <w:r>
        <w:t>LC extends the Panel/install story by installing metadata-only contract files and reports for host embedding, host inventory, host adapter, receipts, receipt requests, payload schema, payload artifact draft, signature-request binding, OS-base planning, and VM evidence. These records make the future promotion path visible before any host adapter, payload artifact, signature request, receipt writer, VM launcher, or OS-base behavior exists.</w:t>
      </w:r>
    </w:p>
    <w:p>
      <w:pPr>
        <w:pStyle w:val="BodyTight"/>
      </w:pPr>
      <w:r>
        <w:t>The bridge is deliberately inert. The installed surfaces can say request_contract_present=1, schema_present=1, draft_contract_present=1, binding_contract_present=1, os_base_contract_present=1, and vm_evidence_contract_present=1, while also preserving host_adapter_present=0, payload_materialized=0, signature_request_binding_allowed=0, seal_signature_request_present=0, receipt_write_allowed=0, vm_launch_allowed=0, and boot_allowed=0.</w:t>
      </w:r>
    </w:p>
    <w:p>
      <w:pPr>
        <w:pStyle w:val="BodyTight"/>
      </w:pPr>
      <w:r>
        <w:t>A reviewer should treat these Console records as preconditions for later work: they name the receipts, operator consent, runtime-boundary binding, and Seal capability labels that must exist before host embedding, signing, OS-base, or VM-adjacent behavior can be promoted.</w:t>
      </w:r>
    </w:p>
    <w:p>
      <w:pPr>
        <w:pStyle w:val="Heading1"/>
      </w:pPr>
      <w:r>
        <w:rPr>
          <w:rFonts w:ascii="Liberation Serif" w:hAnsi="Liberation Serif"/>
        </w:rPr>
        <w:t>Chapter 7. Lat, LIR, and Contract Surfaces</w:t>
      </w:r>
    </w:p>
    <w:p>
      <w:pPr>
        <w:pStyle w:val="Lead"/>
      </w:pPr>
      <w:r>
        <w:rPr>
          <w:rFonts w:ascii="Liberation Serif" w:hAnsi="Liberation Serif"/>
        </w:rPr>
        <w:t>The Lat and LIR lanes have moved from placeholder component names into a bounded, no-effect contract pipeline: grammar parsing, semantic validation, model normalization, model-aware lowering, and deterministic report/diagnostic surfaces.</w:t>
      </w:r>
    </w:p>
    <w:p>
      <w:pPr>
        <w:pStyle w:val="BodyTight"/>
      </w:pPr>
      <w:r>
        <w:rPr>
          <w:rFonts w:ascii="Liberation Serif" w:hAnsi="Liberation Serif"/>
        </w:rPr>
        <w:t>A project book should include Lat and LIR without inventing execution semantics. The current disciplined phrasing is: Lat is the contract/declaration lane; LIR is the intermediate representation lane; both are presently evidence and metadata surfaces. They preserve source spans, no-effect flags, declaration and clause metadata, and denial posture so that future runtime work has typed witnesses before it has authority.</w:t>
      </w:r>
    </w:p>
    <w:p>
      <w:pPr>
        <w:pStyle w:val="Heading2"/>
      </w:pPr>
      <w:r>
        <w:rPr>
          <w:rFonts w:ascii="Liberation Serif" w:hAnsi="Liberation Serif"/>
        </w:rPr>
        <w:t>7.1 Contract-first explanation</w:t>
      </w:r>
    </w:p>
    <w:p>
      <w:pPr>
        <w:pStyle w:val="BodyTight"/>
      </w:pPr>
      <w:r>
        <w:rPr>
          <w:rFonts w:ascii="Liberation Serif" w:hAnsi="Liberation Serif"/>
        </w:rPr>
        <w:t>The most useful way to present Lat and LIR today is as names for a language/tooling lane and an intermediate-representation or contract lane. A future edition can replace this conservative explanation with a full specification. For now, the important architectural claim is that they should obey the same Latticra substrate rules as Seal and the installer: declare effects, emit evidence, fail closed on unsupported authority, and keep public claims tied to tests.</w:t>
      </w:r>
    </w:p>
    <w:p>
      <w:pPr>
        <w:pStyle w:val="Heading2"/>
      </w:pPr>
      <w:r>
        <w:t>7.2 Current no-effect pipeline</w:t>
      </w:r>
    </w:p>
    <w:p>
      <w:pPr>
        <w:pStyle w:val="BodyTight"/>
      </w:pPr>
      <w:r>
        <w:t>As of the May 26 notes, the Lat path is parser -&gt; semantic validation -&gt; normalized model -&gt; model-aware Lat-to-LIR lowering -&gt; pipeline and diagnostic reports -&gt; Runtime Boundary evidence records. This gives the project a stronger internal story than a raw parser: declarations, clauses, transition sources, operators, first-item report metadata, and first-clause provenance can be inspected without evaluating the language.</w:t>
      </w:r>
    </w:p>
    <w:p>
      <w:pPr>
        <w:pStyle w:val="ListBullet"/>
      </w:pPr>
      <w:r>
        <w:t>Grammar and semantic layers bound the source shape and reject unsupported states before downstream metadata is trusted.</w:t>
      </w:r>
    </w:p>
    <w:p>
      <w:pPr>
        <w:pStyle w:val="ListBullet"/>
      </w:pPr>
      <w:r>
        <w:t>Model normalization builds typed declaration and clause tables for states, policies, transitions, assertions, and effect declarations.</w:t>
      </w:r>
    </w:p>
    <w:p>
      <w:pPr>
        <w:pStyle w:val="ListBullet"/>
      </w:pPr>
      <w:r>
        <w:t>Lat-to-LIR lowering consumes the normalized model, emits a lat_module LIR shape, and preserves source-span, no-effect, and authority-denial metadata.</w:t>
      </w:r>
    </w:p>
    <w:p>
      <w:pPr>
        <w:pStyle w:val="ListBullet"/>
      </w:pPr>
      <w:r>
        <w:t>Pipeline and diagnostic reports copy first declaration, first clause, lowering, and error-class metadata for deterministic audit visibility.</w:t>
      </w:r>
    </w:p>
    <w:p>
      <w:pPr>
        <w:pStyle w:val="ListBullet"/>
      </w:pPr>
      <w:r>
        <w:t>Runtime Boundary now carries the same first-clause provenance at record level: lat_pipeline_first_clause_node_index, role, effect, name, operator, and value. That is evidence propagation, not clause interpretation.</w:t>
      </w:r>
    </w:p>
    <w:p>
      <w:pPr>
        <w:pStyle w:val="ListBullet"/>
      </w:pPr>
      <w:r>
        <w:t>The first-clause effect label is an observed metadata label from the Lat pipeline, not permission to perform that effect.</w:t>
      </w:r>
    </w:p>
    <w:p>
      <w:pPr>
        <w:pStyle w:val="BodyTight"/>
      </w:pPr>
      <w:r>
        <w:t>The boundary is still explicit: this pipeline does not execute Lat, execute LIR, evaluate operators, mutate state, perform file or network I/O, call recovery behavior, touch hardware, or grant runtime authority.</w:t>
      </w:r>
    </w:p>
    <w:tbl>
      <w:tblPr>
        <w:tblStyle w:val="TableGrid"/>
        <w:tblW w:type="auto" w:w="0"/>
        <w:jc w:val="center"/>
        <w:tblLook w:firstColumn="1" w:firstRow="1" w:lastColumn="0" w:lastRow="0" w:noHBand="0" w:noVBand="1" w:val="04A0"/>
      </w:tblPr>
      <w:tblGrid>
        <w:gridCol w:w="4997"/>
        <w:gridCol w:w="4997"/>
      </w:tblGrid>
      <w:tr>
        <w:tc>
          <w:tcPr>
            <w:tcW w:type="dxa" w:w="2448"/>
            <w:shd w:fill="E2E8F0"/>
            <w:tcMar>
              <w:top w:w="70" w:type="dxa"/>
              <w:start w:w="70" w:type="dxa"/>
              <w:bottom w:w="70" w:type="dxa"/>
              <w:end w:w="70" w:type="dxa"/>
            </w:tcMar>
            <w:vAlign w:val="center"/>
          </w:tcPr>
          <w:p>
            <w:r/>
            <w:r>
              <w:rPr>
                <w:rFonts w:ascii="Liberation Sans" w:hAnsi="Liberation Sans"/>
                <w:b/>
                <w:color w:val="0F172A"/>
                <w:sz w:val="17"/>
              </w:rPr>
              <w:t>Surface</w:t>
            </w:r>
          </w:p>
        </w:tc>
        <w:tc>
          <w:tcPr>
            <w:tcW w:type="dxa" w:w="6912"/>
            <w:shd w:fill="E2E8F0"/>
            <w:tcMar>
              <w:top w:w="70" w:type="dxa"/>
              <w:start w:w="70" w:type="dxa"/>
              <w:bottom w:w="70" w:type="dxa"/>
              <w:end w:w="70" w:type="dxa"/>
            </w:tcMar>
            <w:vAlign w:val="center"/>
          </w:tcPr>
          <w:p>
            <w:r/>
            <w:r>
              <w:rPr>
                <w:rFonts w:ascii="Liberation Sans" w:hAnsi="Liberation Sans"/>
                <w:b/>
                <w:color w:val="0F172A"/>
                <w:sz w:val="17"/>
              </w:rPr>
              <w:t>Contract questions to answer</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lat command</w:t>
            </w:r>
          </w:p>
        </w:tc>
        <w:tc>
          <w:tcPr>
            <w:tcW w:type="dxa" w:w="6912"/>
            <w:tcMar>
              <w:top w:w="60" w:type="dxa"/>
              <w:start w:w="70" w:type="dxa"/>
              <w:bottom w:w="60" w:type="dxa"/>
              <w:end w:w="70" w:type="dxa"/>
            </w:tcMar>
            <w:vAlign w:val="top"/>
          </w:tcPr>
          <w:p>
            <w:pPr>
              <w:spacing w:after="0"/>
            </w:pPr>
            <w:r/>
            <w:r>
              <w:rPr>
                <w:rFonts w:ascii="Liberation Sans" w:hAnsi="Liberation Sans"/>
                <w:color w:val="0F172A"/>
                <w:sz w:val="16"/>
              </w:rPr>
              <w:t>What inputs does it read? What files does it write? What exit codes matter?</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LIR artifacts</w:t>
            </w:r>
          </w:p>
        </w:tc>
        <w:tc>
          <w:tcPr>
            <w:tcW w:type="dxa" w:w="6912"/>
            <w:tcMar>
              <w:top w:w="60" w:type="dxa"/>
              <w:start w:w="70" w:type="dxa"/>
              <w:bottom w:w="60" w:type="dxa"/>
              <w:end w:w="70" w:type="dxa"/>
            </w:tcMar>
            <w:vAlign w:val="top"/>
          </w:tcPr>
          <w:p>
            <w:pPr>
              <w:spacing w:after="0"/>
            </w:pPr>
            <w:r/>
            <w:r>
              <w:rPr>
                <w:rFonts w:ascii="Liberation Sans" w:hAnsi="Liberation Sans"/>
                <w:color w:val="0F172A"/>
                <w:sz w:val="16"/>
              </w:rPr>
              <w:t>What is the canonical syntax? What invariants are checked? What is lowered or compiled?</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Lat-to-LIR lane</w:t>
            </w:r>
          </w:p>
        </w:tc>
        <w:tc>
          <w:tcPr>
            <w:tcW w:type="dxa" w:w="6912"/>
            <w:tcMar>
              <w:top w:w="60" w:type="dxa"/>
              <w:start w:w="70" w:type="dxa"/>
              <w:bottom w:w="60" w:type="dxa"/>
              <w:end w:w="70" w:type="dxa"/>
            </w:tcMar>
            <w:vAlign w:val="top"/>
          </w:tcPr>
          <w:p>
            <w:pPr>
              <w:spacing w:after="0"/>
            </w:pPr>
            <w:r/>
            <w:r>
              <w:rPr>
                <w:rFonts w:ascii="Liberation Sans" w:hAnsi="Liberation Sans"/>
                <w:color w:val="0F172A"/>
                <w:sz w:val="16"/>
              </w:rPr>
              <w:t>What transformations are allowed? What witnesses are emitted?</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Runtime boundary metadata</w:t>
            </w:r>
          </w:p>
        </w:tc>
        <w:tc>
          <w:tcPr>
            <w:tcW w:type="dxa" w:w="6912"/>
            <w:tcMar>
              <w:top w:w="60" w:type="dxa"/>
              <w:start w:w="70" w:type="dxa"/>
              <w:bottom w:w="60" w:type="dxa"/>
              <w:end w:w="70" w:type="dxa"/>
            </w:tcMar>
            <w:vAlign w:val="top"/>
          </w:tcPr>
          <w:p>
            <w:pPr>
              <w:spacing w:after="0"/>
            </w:pPr>
            <w:r/>
            <w:r>
              <w:rPr>
                <w:rFonts w:ascii="Liberation Sans" w:hAnsi="Liberation Sans"/>
                <w:color w:val="0F172A"/>
                <w:sz w:val="16"/>
              </w:rPr>
              <w:t>Which LIR facts can become runtime decisions, and under what future authority?</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Tests</w:t>
            </w:r>
          </w:p>
        </w:tc>
        <w:tc>
          <w:tcPr>
            <w:tcW w:type="dxa" w:w="6912"/>
            <w:tcMar>
              <w:top w:w="60" w:type="dxa"/>
              <w:start w:w="70" w:type="dxa"/>
              <w:bottom w:w="60" w:type="dxa"/>
              <w:end w:w="70" w:type="dxa"/>
            </w:tcMar>
            <w:vAlign w:val="top"/>
          </w:tcPr>
          <w:p>
            <w:pPr>
              <w:spacing w:after="0"/>
            </w:pPr>
            <w:r/>
            <w:r>
              <w:rPr>
                <w:rFonts w:ascii="Liberation Sans" w:hAnsi="Liberation Sans"/>
                <w:color w:val="0F172A"/>
                <w:sz w:val="16"/>
              </w:rPr>
              <w:t>Which examples prove stable behavior and which are aspirational?</w:t>
            </w:r>
          </w:p>
        </w:tc>
      </w:tr>
    </w:tbl>
    <w:p>
      <w:pPr>
        <w:pStyle w:val="BodyTight"/>
      </w:pPr>
    </w:p>
    <w:p>
      <w:pPr>
        <w:pStyle w:val="Heading2"/>
      </w:pPr>
      <w:r>
        <w:rPr>
          <w:rFonts w:ascii="Liberation Serif" w:hAnsi="Liberation Serif"/>
        </w:rPr>
        <w:t>7.3 Suggested formal shape</w:t>
      </w:r>
    </w:p>
    <w:p>
      <w:pPr>
        <w:pStyle w:val="CaptionSmall"/>
      </w:pPr>
      <w:r>
        <w:rPr>
          <w:rFonts w:ascii="Liberation Serif" w:hAnsi="Liberation Serif"/>
        </w:rPr>
        <w:t>Definition 7.1 - Contract skeleton for Lat, LIR, and CLI surfaces.</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CommandContract = {</w:t>
            </w:r>
            <w:r>
              <w:br/>
            </w:r>
            <w:r>
              <w:rPr>
                <w:rFonts w:ascii="Liberation Mono" w:hAnsi="Liberation Mono"/>
                <w:sz w:val="16"/>
              </w:rPr>
              <w:t xml:space="preserve">    name: String,</w:t>
            </w:r>
            <w:r>
              <w:br/>
            </w:r>
            <w:r>
              <w:rPr>
                <w:rFonts w:ascii="Liberation Mono" w:hAnsi="Liberation Mono"/>
                <w:sz w:val="16"/>
              </w:rPr>
              <w:t xml:space="preserve">    reads: Set&lt;PathOrResource&gt;,</w:t>
            </w:r>
            <w:r>
              <w:br/>
            </w:r>
            <w:r>
              <w:rPr>
                <w:rFonts w:ascii="Liberation Mono" w:hAnsi="Liberation Mono"/>
                <w:sz w:val="16"/>
              </w:rPr>
              <w:t xml:space="preserve">    writes: Set&lt;PathOrResource&gt;,</w:t>
            </w:r>
            <w:r>
              <w:br/>
            </w:r>
            <w:r>
              <w:rPr>
                <w:rFonts w:ascii="Liberation Mono" w:hAnsi="Liberation Mono"/>
                <w:sz w:val="16"/>
              </w:rPr>
              <w:t xml:space="preserve">    authority: AuthorityVector,</w:t>
            </w:r>
            <w:r>
              <w:br/>
            </w:r>
            <w:r>
              <w:rPr>
                <w:rFonts w:ascii="Liberation Mono" w:hAnsi="Liberation Mono"/>
                <w:sz w:val="16"/>
              </w:rPr>
              <w:t xml:space="preserve">    inputs: Schema,</w:t>
            </w:r>
            <w:r>
              <w:br/>
            </w:r>
            <w:r>
              <w:rPr>
                <w:rFonts w:ascii="Liberation Mono" w:hAnsi="Liberation Mono"/>
                <w:sz w:val="16"/>
              </w:rPr>
              <w:t xml:space="preserve">    outputs: Schema,</w:t>
            </w:r>
            <w:r>
              <w:br/>
            </w:r>
            <w:r>
              <w:rPr>
                <w:rFonts w:ascii="Liberation Mono" w:hAnsi="Liberation Mono"/>
                <w:sz w:val="16"/>
              </w:rPr>
              <w:t xml:space="preserve">    pass_condition: Predicate,</w:t>
            </w:r>
            <w:r>
              <w:br/>
            </w:r>
            <w:r>
              <w:rPr>
                <w:rFonts w:ascii="Liberation Mono" w:hAnsi="Liberation Mono"/>
                <w:sz w:val="16"/>
              </w:rPr>
              <w:t xml:space="preserve">    fail_condition: Predicate,</w:t>
            </w:r>
            <w:r>
              <w:br/>
            </w:r>
            <w:r>
              <w:rPr>
                <w:rFonts w:ascii="Liberation Mono" w:hAnsi="Liberation Mono"/>
                <w:sz w:val="16"/>
              </w:rPr>
              <w:t xml:space="preserve">    denial_condition: Predicate,</w:t>
            </w:r>
            <w:r>
              <w:br/>
            </w:r>
            <w:r>
              <w:rPr>
                <w:rFonts w:ascii="Liberation Mono" w:hAnsi="Liberation Mono"/>
                <w:sz w:val="16"/>
              </w:rPr>
              <w:t xml:space="preserve">    receipt_or_report: Optional[Schema]</w:t>
            </w:r>
            <w:r>
              <w:br/>
            </w:r>
            <w:r>
              <w:rPr>
                <w:rFonts w:ascii="Liberation Mono" w:hAnsi="Liberation Mono"/>
                <w:sz w:val="16"/>
              </w:rPr>
              <w:t>}</w:t>
            </w:r>
          </w:p>
        </w:tc>
      </w:tr>
    </w:tbl>
    <w:p>
      <w:pPr>
        <w:pStyle w:val="BodyTight"/>
      </w:pPr>
    </w:p>
    <w:p>
      <w:pPr>
        <w:pStyle w:val="BodyTight"/>
      </w:pPr>
      <w:r>
        <w:rPr>
          <w:rFonts w:ascii="Liberation Serif" w:hAnsi="Liberation Serif"/>
        </w:rPr>
        <w:t>The key is not the exact type syntax. The key is the discipline: a Latticra command should not be considered specified until a reader can identify its read set, write set, authority vector, output evidence, and failure modes.</w:t>
      </w:r>
    </w:p>
    <w:p>
      <w:pPr>
        <w:pStyle w:val="Heading1"/>
      </w:pPr>
      <w:r>
        <w:rPr>
          <w:rFonts w:ascii="Liberation Serif" w:hAnsi="Liberation Serif"/>
        </w:rPr>
        <w:t>Chapter 8. Field Engine and Research Artifacts</w:t>
      </w:r>
    </w:p>
    <w:p>
      <w:pPr>
        <w:pStyle w:val="Lead"/>
      </w:pPr>
      <w:r>
        <w:rPr>
          <w:rFonts w:ascii="Liberation Serif" w:hAnsi="Liberation Serif"/>
        </w:rPr>
        <w:t>The one-pass field engine is best understood as a research and communication artifact: a visual state lattice with exportable witness material, not a standalone security boundary.</w:t>
      </w:r>
    </w:p>
    <w:p>
      <w:pPr>
        <w:pStyle w:val="BodyTight"/>
      </w:pPr>
      <w:r>
        <w:rPr>
          <w:rFonts w:ascii="Liberation Serif" w:hAnsi="Liberation Serif"/>
        </w:rPr>
        <w:t>The one-pass field engine material describes a single-file browser demo with deterministic seed behavior, visual state metrics, hashing when browser crypto is available, and an exportable proof manifest. The artifact is useful because it communicates the Latticra aesthetic: state, coherence, entropy, seal, snapshots, and exportable evidence. Its own notes say it is not a standalone security boundary.</w:t>
      </w:r>
    </w:p>
    <w:p>
      <w:pPr>
        <w:pStyle w:val="Heading2"/>
      </w:pPr>
      <w:r>
        <w:rPr>
          <w:rFonts w:ascii="Liberation Serif" w:hAnsi="Liberation Serif"/>
        </w:rPr>
        <w:t>8.1 Why include demos in a security substrate?</w:t>
      </w:r>
    </w:p>
    <w:p>
      <w:pPr>
        <w:pStyle w:val="BodyTight"/>
      </w:pPr>
      <w:r>
        <w:rPr>
          <w:rFonts w:ascii="Liberation Serif" w:hAnsi="Liberation Serif"/>
        </w:rPr>
        <w:t>Security research projects often need artifacts that teach the mental model before the implementation is complete. A visual field engine can make the substrate idea tangible. It shows state evolving, stabilization toggles, snapshots, and exported evidence. But the book must preserve the boundary: a demo can illustrate witness generation without becoming host protection.</w:t>
      </w:r>
    </w:p>
    <w:tbl>
      <w:tblPr>
        <w:tblStyle w:val="TableGrid"/>
        <w:tblW w:type="auto" w:w="0"/>
        <w:jc w:val="center"/>
        <w:tblLook w:firstColumn="1" w:firstRow="1" w:lastColumn="0" w:lastRow="0" w:noHBand="0" w:noVBand="1" w:val="04A0"/>
      </w:tblPr>
      <w:tblGrid>
        <w:gridCol w:w="4997"/>
        <w:gridCol w:w="4997"/>
      </w:tblGrid>
      <w:tr>
        <w:tc>
          <w:tcPr>
            <w:tcW w:type="dxa" w:w="2880"/>
            <w:shd w:fill="E2E8F0"/>
            <w:tcMar>
              <w:top w:w="70" w:type="dxa"/>
              <w:start w:w="70" w:type="dxa"/>
              <w:bottom w:w="70" w:type="dxa"/>
              <w:end w:w="70" w:type="dxa"/>
            </w:tcMar>
            <w:vAlign w:val="center"/>
          </w:tcPr>
          <w:p>
            <w:r/>
            <w:r>
              <w:rPr>
                <w:rFonts w:ascii="Liberation Sans" w:hAnsi="Liberation Sans"/>
                <w:b/>
                <w:color w:val="0F172A"/>
                <w:sz w:val="17"/>
              </w:rPr>
              <w:t>Artifact behavior</w:t>
            </w:r>
          </w:p>
        </w:tc>
        <w:tc>
          <w:tcPr>
            <w:tcW w:type="dxa" w:w="6480"/>
            <w:shd w:fill="E2E8F0"/>
            <w:tcMar>
              <w:top w:w="70" w:type="dxa"/>
              <w:start w:w="70" w:type="dxa"/>
              <w:bottom w:w="70" w:type="dxa"/>
              <w:end w:w="70" w:type="dxa"/>
            </w:tcMar>
            <w:vAlign w:val="center"/>
          </w:tcPr>
          <w:p>
            <w:r/>
            <w:r>
              <w:rPr>
                <w:rFonts w:ascii="Liberation Sans" w:hAnsi="Liberation Sans"/>
                <w:b/>
                <w:color w:val="0F172A"/>
                <w:sz w:val="17"/>
              </w:rPr>
              <w:t>Substrate lesson</w:t>
            </w:r>
          </w:p>
        </w:tc>
      </w:tr>
      <w:tr>
        <w:tc>
          <w:tcPr>
            <w:tcW w:type="dxa" w:w="2880"/>
            <w:tcMar>
              <w:top w:w="60" w:type="dxa"/>
              <w:start w:w="70" w:type="dxa"/>
              <w:bottom w:w="60" w:type="dxa"/>
              <w:end w:w="70" w:type="dxa"/>
            </w:tcMar>
            <w:vAlign w:val="top"/>
          </w:tcPr>
          <w:p>
            <w:pPr>
              <w:spacing w:after="0"/>
            </w:pPr>
            <w:r/>
            <w:r>
              <w:rPr>
                <w:rFonts w:ascii="Liberation Sans" w:hAnsi="Liberation Sans"/>
                <w:color w:val="0F172A"/>
                <w:sz w:val="16"/>
              </w:rPr>
              <w:t>Deterministic seed</w:t>
            </w:r>
          </w:p>
        </w:tc>
        <w:tc>
          <w:tcPr>
            <w:tcW w:type="dxa" w:w="6480"/>
            <w:tcMar>
              <w:top w:w="60" w:type="dxa"/>
              <w:start w:w="70" w:type="dxa"/>
              <w:bottom w:w="60" w:type="dxa"/>
              <w:end w:w="70" w:type="dxa"/>
            </w:tcMar>
            <w:vAlign w:val="top"/>
          </w:tcPr>
          <w:p>
            <w:pPr>
              <w:spacing w:after="0"/>
            </w:pPr>
            <w:r/>
            <w:r>
              <w:rPr>
                <w:rFonts w:ascii="Liberation Sans" w:hAnsi="Liberation Sans"/>
                <w:color w:val="0F172A"/>
                <w:sz w:val="16"/>
              </w:rPr>
              <w:t>Reproducibility matters.</w:t>
            </w:r>
          </w:p>
        </w:tc>
      </w:tr>
      <w:tr>
        <w:tc>
          <w:tcPr>
            <w:tcW w:type="dxa" w:w="2880"/>
            <w:tcMar>
              <w:top w:w="60" w:type="dxa"/>
              <w:start w:w="70" w:type="dxa"/>
              <w:bottom w:w="60" w:type="dxa"/>
              <w:end w:w="70" w:type="dxa"/>
            </w:tcMar>
            <w:vAlign w:val="top"/>
          </w:tcPr>
          <w:p>
            <w:pPr>
              <w:spacing w:after="0"/>
            </w:pPr>
            <w:r/>
            <w:r>
              <w:rPr>
                <w:rFonts w:ascii="Liberation Sans" w:hAnsi="Liberation Sans"/>
                <w:color w:val="0F172A"/>
                <w:sz w:val="16"/>
              </w:rPr>
              <w:t>Observable node/edge state</w:t>
            </w:r>
          </w:p>
        </w:tc>
        <w:tc>
          <w:tcPr>
            <w:tcW w:type="dxa" w:w="6480"/>
            <w:tcMar>
              <w:top w:w="60" w:type="dxa"/>
              <w:start w:w="70" w:type="dxa"/>
              <w:bottom w:w="60" w:type="dxa"/>
              <w:end w:w="70" w:type="dxa"/>
            </w:tcMar>
            <w:vAlign w:val="top"/>
          </w:tcPr>
          <w:p>
            <w:pPr>
              <w:spacing w:after="0"/>
            </w:pPr>
            <w:r/>
            <w:r>
              <w:rPr>
                <w:rFonts w:ascii="Liberation Sans" w:hAnsi="Liberation Sans"/>
                <w:color w:val="0F172A"/>
                <w:sz w:val="16"/>
              </w:rPr>
              <w:t>State should be inspectable.</w:t>
            </w:r>
          </w:p>
        </w:tc>
      </w:tr>
      <w:tr>
        <w:tc>
          <w:tcPr>
            <w:tcW w:type="dxa" w:w="2880"/>
            <w:tcMar>
              <w:top w:w="60" w:type="dxa"/>
              <w:start w:w="70" w:type="dxa"/>
              <w:bottom w:w="60" w:type="dxa"/>
              <w:end w:w="70" w:type="dxa"/>
            </w:tcMar>
            <w:vAlign w:val="top"/>
          </w:tcPr>
          <w:p>
            <w:pPr>
              <w:spacing w:after="0"/>
            </w:pPr>
            <w:r/>
            <w:r>
              <w:rPr>
                <w:rFonts w:ascii="Liberation Sans" w:hAnsi="Liberation Sans"/>
                <w:color w:val="0F172A"/>
                <w:sz w:val="16"/>
              </w:rPr>
              <w:t>Entropy and coherence metrics</w:t>
            </w:r>
          </w:p>
        </w:tc>
        <w:tc>
          <w:tcPr>
            <w:tcW w:type="dxa" w:w="6480"/>
            <w:tcMar>
              <w:top w:w="60" w:type="dxa"/>
              <w:start w:w="70" w:type="dxa"/>
              <w:bottom w:w="60" w:type="dxa"/>
              <w:end w:w="70" w:type="dxa"/>
            </w:tcMar>
            <w:vAlign w:val="top"/>
          </w:tcPr>
          <w:p>
            <w:pPr>
              <w:spacing w:after="0"/>
            </w:pPr>
            <w:r/>
            <w:r>
              <w:rPr>
                <w:rFonts w:ascii="Liberation Sans" w:hAnsi="Liberation Sans"/>
                <w:color w:val="0F172A"/>
                <w:sz w:val="16"/>
              </w:rPr>
              <w:t>Derived signals can summarize state, but need definitions.</w:t>
            </w:r>
          </w:p>
        </w:tc>
      </w:tr>
      <w:tr>
        <w:tc>
          <w:tcPr>
            <w:tcW w:type="dxa" w:w="2880"/>
            <w:tcMar>
              <w:top w:w="60" w:type="dxa"/>
              <w:start w:w="70" w:type="dxa"/>
              <w:bottom w:w="60" w:type="dxa"/>
              <w:end w:w="70" w:type="dxa"/>
            </w:tcMar>
            <w:vAlign w:val="top"/>
          </w:tcPr>
          <w:p>
            <w:pPr>
              <w:spacing w:after="0"/>
            </w:pPr>
            <w:r/>
            <w:r>
              <w:rPr>
                <w:rFonts w:ascii="Liberation Sans" w:hAnsi="Liberation Sans"/>
                <w:color w:val="0F172A"/>
                <w:sz w:val="16"/>
              </w:rPr>
              <w:t>SHA-256 when available</w:t>
            </w:r>
          </w:p>
        </w:tc>
        <w:tc>
          <w:tcPr>
            <w:tcW w:type="dxa" w:w="6480"/>
            <w:tcMar>
              <w:top w:w="60" w:type="dxa"/>
              <w:start w:w="70" w:type="dxa"/>
              <w:bottom w:w="60" w:type="dxa"/>
              <w:end w:w="70" w:type="dxa"/>
            </w:tcMar>
            <w:vAlign w:val="top"/>
          </w:tcPr>
          <w:p>
            <w:pPr>
              <w:spacing w:after="0"/>
            </w:pPr>
            <w:r/>
            <w:r>
              <w:rPr>
                <w:rFonts w:ascii="Liberation Sans" w:hAnsi="Liberation Sans"/>
                <w:color w:val="0F172A"/>
                <w:sz w:val="16"/>
              </w:rPr>
              <w:t>Hashing can bind a witness to observable state.</w:t>
            </w:r>
          </w:p>
        </w:tc>
      </w:tr>
      <w:tr>
        <w:tc>
          <w:tcPr>
            <w:tcW w:type="dxa" w:w="2880"/>
            <w:tcMar>
              <w:top w:w="60" w:type="dxa"/>
              <w:start w:w="70" w:type="dxa"/>
              <w:bottom w:w="60" w:type="dxa"/>
              <w:end w:w="70" w:type="dxa"/>
            </w:tcMar>
            <w:vAlign w:val="top"/>
          </w:tcPr>
          <w:p>
            <w:pPr>
              <w:spacing w:after="0"/>
            </w:pPr>
            <w:r/>
            <w:r>
              <w:rPr>
                <w:rFonts w:ascii="Liberation Sans" w:hAnsi="Liberation Sans"/>
                <w:color w:val="0F172A"/>
                <w:sz w:val="16"/>
              </w:rPr>
              <w:t>Exportable manifest</w:t>
            </w:r>
          </w:p>
        </w:tc>
        <w:tc>
          <w:tcPr>
            <w:tcW w:type="dxa" w:w="6480"/>
            <w:tcMar>
              <w:top w:w="60" w:type="dxa"/>
              <w:start w:w="70" w:type="dxa"/>
              <w:bottom w:w="60" w:type="dxa"/>
              <w:end w:w="70" w:type="dxa"/>
            </w:tcMar>
            <w:vAlign w:val="top"/>
          </w:tcPr>
          <w:p>
            <w:pPr>
              <w:spacing w:after="0"/>
            </w:pPr>
            <w:r/>
            <w:r>
              <w:rPr>
                <w:rFonts w:ascii="Liberation Sans" w:hAnsi="Liberation Sans"/>
                <w:color w:val="0F172A"/>
                <w:sz w:val="16"/>
              </w:rPr>
              <w:t>Evidence should be portable.</w:t>
            </w:r>
          </w:p>
        </w:tc>
      </w:tr>
      <w:tr>
        <w:tc>
          <w:tcPr>
            <w:tcW w:type="dxa" w:w="2880"/>
            <w:tcMar>
              <w:top w:w="60" w:type="dxa"/>
              <w:start w:w="70" w:type="dxa"/>
              <w:bottom w:w="60" w:type="dxa"/>
              <w:end w:w="70" w:type="dxa"/>
            </w:tcMar>
            <w:vAlign w:val="top"/>
          </w:tcPr>
          <w:p>
            <w:pPr>
              <w:spacing w:after="0"/>
            </w:pPr>
            <w:r/>
            <w:r>
              <w:rPr>
                <w:rFonts w:ascii="Liberation Sans" w:hAnsi="Liberation Sans"/>
                <w:color w:val="0F172A"/>
                <w:sz w:val="16"/>
              </w:rPr>
              <w:t>Explicit non-security note</w:t>
            </w:r>
          </w:p>
        </w:tc>
        <w:tc>
          <w:tcPr>
            <w:tcW w:type="dxa" w:w="6480"/>
            <w:tcMar>
              <w:top w:w="60" w:type="dxa"/>
              <w:start w:w="70" w:type="dxa"/>
              <w:bottom w:w="60" w:type="dxa"/>
              <w:end w:w="70" w:type="dxa"/>
            </w:tcMar>
            <w:vAlign w:val="top"/>
          </w:tcPr>
          <w:p>
            <w:pPr>
              <w:spacing w:after="0"/>
            </w:pPr>
            <w:r/>
            <w:r>
              <w:rPr>
                <w:rFonts w:ascii="Liberation Sans" w:hAnsi="Liberation Sans"/>
                <w:color w:val="0F172A"/>
                <w:sz w:val="16"/>
              </w:rPr>
              <w:t>Demonstrations must not overclaim.</w:t>
            </w:r>
          </w:p>
        </w:tc>
      </w:tr>
    </w:tbl>
    <w:p>
      <w:pPr>
        <w:pStyle w:val="BodyTight"/>
      </w:pPr>
    </w:p>
    <w:p>
      <w:pPr>
        <w:pStyle w:val="Heading2"/>
      </w:pPr>
      <w:r>
        <w:rPr>
          <w:rFonts w:ascii="Liberation Serif" w:hAnsi="Liberation Serif"/>
        </w:rPr>
        <w:t>8.2 From demo to research method</w:t>
      </w:r>
    </w:p>
    <w:p>
      <w:pPr>
        <w:pStyle w:val="BodyTight"/>
      </w:pPr>
      <w:r>
        <w:rPr>
          <w:rFonts w:ascii="Liberation Serif" w:hAnsi="Liberation Serif"/>
        </w:rPr>
        <w:t>The general lesson is that every Latticra artifact should produce a witness. A browser demo exports a manifest. A Seal run emits a report. An installer emits a receipt. A validation lane emits a transcript. A future runtime handoff should emit a decision trace. The forms differ, but the substrate pattern remains stable.</w:t>
      </w:r>
    </w:p>
    <w:p>
      <w:pPr>
        <w:pStyle w:val="Heading1"/>
        <w:jc w:val="center"/>
      </w:pPr>
      <w:r>
        <w:rPr>
          <w:rFonts w:ascii="Liberation Serif" w:hAnsi="Liberation Serif"/>
          <w:sz w:val="40"/>
        </w:rPr>
        <w:t>Part III - Security Model</w:t>
      </w:r>
    </w:p>
    <w:p>
      <w:pPr>
        <w:pStyle w:val="Lead"/>
        <w:jc w:val="center"/>
      </w:pPr>
      <w:r>
        <w:rPr>
          <w:rFonts w:ascii="Liberation Serif" w:hAnsi="Liberation Serif"/>
        </w:rPr>
        <w:t>Latticra makes sense when security is modeled as typed effects, explicit authority vectors, and fail-closed policy decisions.</w:t>
      </w:r>
    </w:p>
    <w:p>
      <w:r>
        <w:rPr>
          <w:rFonts w:ascii="Liberation Serif" w:hAnsi="Liberation Serif"/>
        </w:rPr>
        <w:br w:type="page"/>
      </w:r>
    </w:p>
    <w:p>
      <w:pPr>
        <w:pStyle w:val="Heading1"/>
      </w:pPr>
      <w:r>
        <w:rPr>
          <w:rFonts w:ascii="Liberation Serif" w:hAnsi="Liberation Serif"/>
        </w:rPr>
        <w:t>Chapter 9. Authority Vectors and Effect Classes</w:t>
      </w:r>
    </w:p>
    <w:p>
      <w:pPr>
        <w:pStyle w:val="Lead"/>
      </w:pPr>
      <w:r>
        <w:rPr>
          <w:rFonts w:ascii="Liberation Serif" w:hAnsi="Liberation Serif"/>
        </w:rPr>
        <w:t>The authority vector is the core type of the Latticra system substrate. It records which powers a command has and, equally important, which powers it does not have.</w:t>
      </w:r>
    </w:p>
    <w:p>
      <w:pPr>
        <w:pStyle w:val="BodyTight"/>
      </w:pPr>
      <w:r>
        <w:rPr>
          <w:rFonts w:ascii="Liberation Serif" w:hAnsi="Liberation Serif"/>
        </w:rPr>
        <w:t>An authority vector should be attached to reports, receipts, plans, UI states, and command contracts. It should be boring, explicit, and repeated everywhere. Repetition is a feature: a user should not have to infer whether root, network, runtime, kernel, systemd, or SELinux authority was used.</w:t>
      </w:r>
    </w:p>
    <w:p>
      <w:pPr>
        <w:pStyle w:val="CaptionSmall"/>
      </w:pPr>
      <w:r>
        <w:rPr>
          <w:rFonts w:ascii="Liberation Serif" w:hAnsi="Liberation Serif"/>
        </w:rPr>
        <w:t>Definition 9.1 - Current authority vector shape.</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AuthorityVector = {</w:t>
            </w:r>
            <w:r>
              <w:br/>
            </w:r>
            <w:r>
              <w:rPr>
                <w:rFonts w:ascii="Liberation Mono" w:hAnsi="Liberation Mono"/>
                <w:sz w:val="16"/>
              </w:rPr>
              <w:t xml:space="preserve">    network_authority: Bool,</w:t>
            </w:r>
            <w:r>
              <w:br/>
            </w:r>
            <w:r>
              <w:rPr>
                <w:rFonts w:ascii="Liberation Mono" w:hAnsi="Liberation Mono"/>
                <w:sz w:val="16"/>
              </w:rPr>
              <w:t xml:space="preserve">    runtime_enforcement_authority: Bool,</w:t>
            </w:r>
            <w:r>
              <w:br/>
            </w:r>
            <w:r>
              <w:rPr>
                <w:rFonts w:ascii="Liberation Mono" w:hAnsi="Liberation Mono"/>
                <w:sz w:val="16"/>
              </w:rPr>
              <w:t xml:space="preserve">    root_authority: Bool,</w:t>
            </w:r>
            <w:r>
              <w:br/>
            </w:r>
            <w:r>
              <w:rPr>
                <w:rFonts w:ascii="Liberation Mono" w:hAnsi="Liberation Mono"/>
                <w:sz w:val="16"/>
              </w:rPr>
              <w:t xml:space="preserve">    kernel_modification_performed: Bool,</w:t>
            </w:r>
            <w:r>
              <w:br/>
            </w:r>
            <w:r>
              <w:rPr>
                <w:rFonts w:ascii="Liberation Mono" w:hAnsi="Liberation Mono"/>
                <w:sz w:val="16"/>
              </w:rPr>
              <w:t xml:space="preserve">    systemd_modification_performed: Bool,</w:t>
            </w:r>
            <w:r>
              <w:br/>
            </w:r>
            <w:r>
              <w:rPr>
                <w:rFonts w:ascii="Liberation Mono" w:hAnsi="Liberation Mono"/>
                <w:sz w:val="16"/>
              </w:rPr>
              <w:t xml:space="preserve">    selinux_modification_performed: Bool,</w:t>
            </w:r>
            <w:r>
              <w:br/>
            </w:r>
            <w:r>
              <w:rPr>
                <w:rFonts w:ascii="Liberation Mono" w:hAnsi="Liberation Mono"/>
                <w:sz w:val="16"/>
              </w:rPr>
              <w:t xml:space="preserve">    production_security_product: Bool</w:t>
            </w:r>
            <w:r>
              <w:br/>
            </w:r>
            <w:r>
              <w:rPr>
                <w:rFonts w:ascii="Liberation Mono" w:hAnsi="Liberation Mono"/>
                <w:sz w:val="16"/>
              </w:rPr>
              <w:t>}</w:t>
            </w:r>
          </w:p>
        </w:tc>
      </w:tr>
    </w:tbl>
    <w:p>
      <w:pPr>
        <w:pStyle w:val="BodyTight"/>
      </w:pPr>
    </w:p>
    <w:p>
      <w:pPr>
        <w:pStyle w:val="Heading2"/>
      </w:pPr>
      <w:r>
        <w:rPr>
          <w:rFonts w:ascii="Liberation Serif" w:hAnsi="Liberation Serif"/>
        </w:rPr>
        <w:t>9.1 Deny by type mismatch</w:t>
      </w:r>
    </w:p>
    <w:p>
      <w:pPr>
        <w:pStyle w:val="BodyTight"/>
      </w:pPr>
      <w:r>
        <w:rPr>
          <w:rFonts w:ascii="Liberation Serif" w:hAnsi="Liberation Serif"/>
        </w:rPr>
        <w:t>If a command is typed as report-only and attempts a network operation, that is an effect mismatch. If an installer profile has root_authority=false and attempts to write outside the user-local prefix, that is a boundary violation. If a README claims runtime enforcement but the authority vector says runtime_enforcement_authority=0, that is a claim violation. The same model can catch code problems and documentation problems.</w:t>
      </w:r>
    </w:p>
    <w:p>
      <w:pPr>
        <w:pStyle w:val="CaptionSmall"/>
      </w:pPr>
      <w:r>
        <w:rPr>
          <w:rFonts w:ascii="Liberation Serif" w:hAnsi="Liberation Serif"/>
        </w:rPr>
        <w:t>Algorithm 9.1 - Authority gate.</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def authority_gate(requested, allowed):</w:t>
            </w:r>
            <w:r>
              <w:br/>
            </w:r>
            <w:r>
              <w:rPr>
                <w:rFonts w:ascii="Liberation Mono" w:hAnsi="Liberation Mono"/>
                <w:sz w:val="16"/>
              </w:rPr>
              <w:t xml:space="preserve">    for k, v in requested.items():</w:t>
            </w:r>
            <w:r>
              <w:br/>
            </w:r>
            <w:r>
              <w:rPr>
                <w:rFonts w:ascii="Liberation Mono" w:hAnsi="Liberation Mono"/>
                <w:sz w:val="16"/>
              </w:rPr>
              <w:t xml:space="preserve">        if v and not allowed.get(k, False):</w:t>
            </w:r>
            <w:r>
              <w:br/>
            </w:r>
            <w:r>
              <w:rPr>
                <w:rFonts w:ascii="Liberation Mono" w:hAnsi="Liberation Mono"/>
                <w:sz w:val="16"/>
              </w:rPr>
              <w:t xml:space="preserve">            return Deny(reason=f"unsupported authority: {k}")</w:t>
            </w:r>
            <w:r>
              <w:br/>
            </w:r>
            <w:r>
              <w:rPr>
                <w:rFonts w:ascii="Liberation Mono" w:hAnsi="Liberation Mono"/>
                <w:sz w:val="16"/>
              </w:rPr>
              <w:t xml:space="preserve">    return Pass()</w:t>
            </w:r>
          </w:p>
        </w:tc>
      </w:tr>
    </w:tbl>
    <w:p>
      <w:pPr>
        <w:pStyle w:val="BodyTight"/>
      </w:pPr>
    </w:p>
    <w:p>
      <w:pPr>
        <w:pStyle w:val="Heading2"/>
      </w:pPr>
      <w:r>
        <w:rPr>
          <w:rFonts w:ascii="Liberation Serif" w:hAnsi="Liberation Serif"/>
        </w:rPr>
        <w:t>9.2 Effect taxonomy</w:t>
      </w:r>
    </w:p>
    <w:p>
      <w:pPr>
        <w:pStyle w:val="BodyTight"/>
      </w:pPr>
      <w:r>
        <w:rPr>
          <w:rFonts w:ascii="Liberation Serif" w:hAnsi="Liberation Serif"/>
        </w:rPr>
        <w:t>The effect taxonomy lets developers reason about commands before implementation. A command that reads a manifest and prints a report has a small effect. A command that writes an installed prefix has a larger effect. A command that modifies systemd or SELinux would need a much stronger trust story and is not part of the current project authority posture.</w:t>
      </w:r>
    </w:p>
    <w:tbl>
      <w:tblPr>
        <w:tblStyle w:val="TableGrid"/>
        <w:tblW w:type="auto" w:w="0"/>
        <w:jc w:val="center"/>
        <w:tblLook w:firstColumn="1" w:firstRow="1" w:lastColumn="0" w:lastRow="0" w:noHBand="0" w:noVBand="1" w:val="04A0"/>
      </w:tblPr>
      <w:tblGrid>
        <w:gridCol w:w="3331"/>
        <w:gridCol w:w="3331"/>
        <w:gridCol w:w="3331"/>
      </w:tblGrid>
      <w:tr>
        <w:tc>
          <w:tcPr>
            <w:tcW w:type="dxa" w:w="2304"/>
            <w:shd w:fill="E2E8F0"/>
            <w:tcMar>
              <w:top w:w="70" w:type="dxa"/>
              <w:start w:w="70" w:type="dxa"/>
              <w:bottom w:w="70" w:type="dxa"/>
              <w:end w:w="70" w:type="dxa"/>
            </w:tcMar>
            <w:vAlign w:val="center"/>
          </w:tcPr>
          <w:p>
            <w:r/>
            <w:r>
              <w:rPr>
                <w:rFonts w:ascii="Liberation Sans" w:hAnsi="Liberation Sans"/>
                <w:b/>
                <w:color w:val="0F172A"/>
                <w:sz w:val="17"/>
              </w:rPr>
              <w:t>Type</w:t>
            </w:r>
          </w:p>
        </w:tc>
        <w:tc>
          <w:tcPr>
            <w:tcW w:type="dxa" w:w="3744"/>
            <w:shd w:fill="E2E8F0"/>
            <w:tcMar>
              <w:top w:w="70" w:type="dxa"/>
              <w:start w:w="70" w:type="dxa"/>
              <w:bottom w:w="70" w:type="dxa"/>
              <w:end w:w="70" w:type="dxa"/>
            </w:tcMar>
            <w:vAlign w:val="center"/>
          </w:tcPr>
          <w:p>
            <w:r/>
            <w:r>
              <w:rPr>
                <w:rFonts w:ascii="Liberation Sans" w:hAnsi="Liberation Sans"/>
                <w:b/>
                <w:color w:val="0F172A"/>
                <w:sz w:val="17"/>
              </w:rPr>
              <w:t>Allowed examples</w:t>
            </w:r>
          </w:p>
        </w:tc>
        <w:tc>
          <w:tcPr>
            <w:tcW w:type="dxa" w:w="3312"/>
            <w:shd w:fill="E2E8F0"/>
            <w:tcMar>
              <w:top w:w="70" w:type="dxa"/>
              <w:start w:w="70" w:type="dxa"/>
              <w:bottom w:w="70" w:type="dxa"/>
              <w:end w:w="70" w:type="dxa"/>
            </w:tcMar>
            <w:vAlign w:val="center"/>
          </w:tcPr>
          <w:p>
            <w:r/>
            <w:r>
              <w:rPr>
                <w:rFonts w:ascii="Liberation Sans" w:hAnsi="Liberation Sans"/>
                <w:b/>
                <w:color w:val="0F172A"/>
                <w:sz w:val="17"/>
              </w:rPr>
              <w:t>Forbidden current examples</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ReportOnly</w:t>
            </w:r>
          </w:p>
        </w:tc>
        <w:tc>
          <w:tcPr>
            <w:tcW w:type="dxa" w:w="3744"/>
            <w:tcMar>
              <w:top w:w="60" w:type="dxa"/>
              <w:start w:w="70" w:type="dxa"/>
              <w:bottom w:w="60" w:type="dxa"/>
              <w:end w:w="70" w:type="dxa"/>
            </w:tcMar>
            <w:vAlign w:val="top"/>
          </w:tcPr>
          <w:p>
            <w:pPr>
              <w:spacing w:after="0"/>
            </w:pPr>
            <w:r/>
            <w:r>
              <w:rPr>
                <w:rFonts w:ascii="Liberation Sans" w:hAnsi="Liberation Sans"/>
                <w:color w:val="0F172A"/>
                <w:sz w:val="16"/>
              </w:rPr>
              <w:t>latticra-seal report, dry-run evidence display.</w:t>
            </w:r>
          </w:p>
        </w:tc>
        <w:tc>
          <w:tcPr>
            <w:tcW w:type="dxa" w:w="3312"/>
            <w:tcMar>
              <w:top w:w="60" w:type="dxa"/>
              <w:start w:w="70" w:type="dxa"/>
              <w:bottom w:w="60" w:type="dxa"/>
              <w:end w:w="70" w:type="dxa"/>
            </w:tcMar>
            <w:vAlign w:val="top"/>
          </w:tcPr>
          <w:p>
            <w:pPr>
              <w:spacing w:after="0"/>
            </w:pPr>
            <w:r/>
            <w:r>
              <w:rPr>
                <w:rFonts w:ascii="Liberation Sans" w:hAnsi="Liberation Sans"/>
                <w:color w:val="0F172A"/>
                <w:sz w:val="16"/>
              </w:rPr>
              <w:t>Runtime process blocking.</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VerifyLocal</w:t>
            </w:r>
          </w:p>
        </w:tc>
        <w:tc>
          <w:tcPr>
            <w:tcW w:type="dxa" w:w="3744"/>
            <w:tcMar>
              <w:top w:w="60" w:type="dxa"/>
              <w:start w:w="70" w:type="dxa"/>
              <w:bottom w:w="60" w:type="dxa"/>
              <w:end w:w="70" w:type="dxa"/>
            </w:tcMar>
            <w:vAlign w:val="top"/>
          </w:tcPr>
          <w:p>
            <w:pPr>
              <w:spacing w:after="0"/>
            </w:pPr>
            <w:r/>
            <w:r>
              <w:rPr>
                <w:rFonts w:ascii="Liberation Sans" w:hAnsi="Liberation Sans"/>
                <w:color w:val="0F172A"/>
                <w:sz w:val="16"/>
              </w:rPr>
              <w:t>Hash comparison, manifest presence check.</w:t>
            </w:r>
          </w:p>
        </w:tc>
        <w:tc>
          <w:tcPr>
            <w:tcW w:type="dxa" w:w="3312"/>
            <w:tcMar>
              <w:top w:w="60" w:type="dxa"/>
              <w:start w:w="70" w:type="dxa"/>
              <w:bottom w:w="60" w:type="dxa"/>
              <w:end w:w="70" w:type="dxa"/>
            </w:tcMar>
            <w:vAlign w:val="top"/>
          </w:tcPr>
          <w:p>
            <w:pPr>
              <w:spacing w:after="0"/>
            </w:pPr>
            <w:r/>
            <w:r>
              <w:rPr>
                <w:rFonts w:ascii="Liberation Sans" w:hAnsi="Liberation Sans"/>
                <w:color w:val="0F172A"/>
                <w:sz w:val="16"/>
              </w:rPr>
              <w:t>Network reputation lookup.</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WriteEvidence</w:t>
            </w:r>
          </w:p>
        </w:tc>
        <w:tc>
          <w:tcPr>
            <w:tcW w:type="dxa" w:w="3744"/>
            <w:tcMar>
              <w:top w:w="60" w:type="dxa"/>
              <w:start w:w="70" w:type="dxa"/>
              <w:bottom w:w="60" w:type="dxa"/>
              <w:end w:w="70" w:type="dxa"/>
            </w:tcMar>
            <w:vAlign w:val="top"/>
          </w:tcPr>
          <w:p>
            <w:pPr>
              <w:spacing w:after="0"/>
            </w:pPr>
            <w:r/>
            <w:r>
              <w:rPr>
                <w:rFonts w:ascii="Liberation Sans" w:hAnsi="Liberation Sans"/>
                <w:color w:val="0F172A"/>
                <w:sz w:val="16"/>
              </w:rPr>
              <w:t>reports, plans, receipts, component markers.</w:t>
            </w:r>
          </w:p>
        </w:tc>
        <w:tc>
          <w:tcPr>
            <w:tcW w:type="dxa" w:w="3312"/>
            <w:tcMar>
              <w:top w:w="60" w:type="dxa"/>
              <w:start w:w="70" w:type="dxa"/>
              <w:bottom w:w="60" w:type="dxa"/>
              <w:end w:w="70" w:type="dxa"/>
            </w:tcMar>
            <w:vAlign w:val="top"/>
          </w:tcPr>
          <w:p>
            <w:pPr>
              <w:spacing w:after="0"/>
            </w:pPr>
            <w:r/>
            <w:r>
              <w:rPr>
                <w:rFonts w:ascii="Liberation Sans" w:hAnsi="Liberation Sans"/>
                <w:color w:val="0F172A"/>
                <w:sz w:val="16"/>
              </w:rPr>
              <w:t>Kernel module installation.</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GuardedUserInstall</w:t>
            </w:r>
          </w:p>
        </w:tc>
        <w:tc>
          <w:tcPr>
            <w:tcW w:type="dxa" w:w="3744"/>
            <w:tcMar>
              <w:top w:w="60" w:type="dxa"/>
              <w:start w:w="70" w:type="dxa"/>
              <w:bottom w:w="60" w:type="dxa"/>
              <w:end w:w="70" w:type="dxa"/>
            </w:tcMar>
            <w:vAlign w:val="top"/>
          </w:tcPr>
          <w:p>
            <w:pPr>
              <w:spacing w:after="0"/>
            </w:pPr>
            <w:r/>
            <w:r>
              <w:rPr>
                <w:rFonts w:ascii="Liberation Sans" w:hAnsi="Liberation Sans"/>
                <w:color w:val="0F172A"/>
                <w:sz w:val="16"/>
              </w:rPr>
              <w:t>user-local prefix files and wrappers.</w:t>
            </w:r>
          </w:p>
        </w:tc>
        <w:tc>
          <w:tcPr>
            <w:tcW w:type="dxa" w:w="3312"/>
            <w:tcMar>
              <w:top w:w="60" w:type="dxa"/>
              <w:start w:w="70" w:type="dxa"/>
              <w:bottom w:w="60" w:type="dxa"/>
              <w:end w:w="70" w:type="dxa"/>
            </w:tcMar>
            <w:vAlign w:val="top"/>
          </w:tcPr>
          <w:p>
            <w:pPr>
              <w:spacing w:after="0"/>
            </w:pPr>
            <w:r/>
            <w:r>
              <w:rPr>
                <w:rFonts w:ascii="Liberation Sans" w:hAnsi="Liberation Sans"/>
                <w:color w:val="0F172A"/>
                <w:sz w:val="16"/>
              </w:rPr>
              <w:t>Root package install.</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FutureRuntimeHandoff</w:t>
            </w:r>
          </w:p>
        </w:tc>
        <w:tc>
          <w:tcPr>
            <w:tcW w:type="dxa" w:w="3744"/>
            <w:tcMar>
              <w:top w:w="60" w:type="dxa"/>
              <w:start w:w="70" w:type="dxa"/>
              <w:bottom w:w="60" w:type="dxa"/>
              <w:end w:w="70" w:type="dxa"/>
            </w:tcMar>
            <w:vAlign w:val="top"/>
          </w:tcPr>
          <w:p>
            <w:pPr>
              <w:spacing w:after="0"/>
            </w:pPr>
            <w:r/>
            <w:r>
              <w:rPr>
                <w:rFonts w:ascii="Liberation Sans" w:hAnsi="Liberation Sans"/>
                <w:color w:val="0F172A"/>
                <w:sz w:val="16"/>
              </w:rPr>
              <w:t>metadata for a future decision engine.</w:t>
            </w:r>
          </w:p>
        </w:tc>
        <w:tc>
          <w:tcPr>
            <w:tcW w:type="dxa" w:w="3312"/>
            <w:tcMar>
              <w:top w:w="60" w:type="dxa"/>
              <w:start w:w="70" w:type="dxa"/>
              <w:bottom w:w="60" w:type="dxa"/>
              <w:end w:w="70" w:type="dxa"/>
            </w:tcMar>
            <w:vAlign w:val="top"/>
          </w:tcPr>
          <w:p>
            <w:pPr>
              <w:spacing w:after="0"/>
            </w:pPr>
            <w:r/>
            <w:r>
              <w:rPr>
                <w:rFonts w:ascii="Liberation Sans" w:hAnsi="Liberation Sans"/>
                <w:color w:val="0F172A"/>
                <w:sz w:val="16"/>
              </w:rPr>
              <w:t>Claiming sandbox enforcement today.</w:t>
            </w:r>
          </w:p>
        </w:tc>
      </w:tr>
    </w:tbl>
    <w:p>
      <w:pPr>
        <w:pStyle w:val="BodyTight"/>
      </w:pPr>
    </w:p>
    <w:p>
      <w:pPr>
        <w:pStyle w:val="Heading1"/>
      </w:pPr>
      <w:r>
        <w:rPr>
          <w:rFonts w:ascii="Liberation Serif" w:hAnsi="Liberation Serif"/>
        </w:rPr>
        <w:t>Chapter 10. Policy as a Fail-Closed Compiler</w:t>
      </w:r>
    </w:p>
    <w:p>
      <w:pPr>
        <w:pStyle w:val="Lead"/>
      </w:pPr>
      <w:r>
        <w:rPr>
          <w:rFonts w:ascii="Liberation Serif" w:hAnsi="Liberation Serif"/>
        </w:rPr>
        <w:t>Policy is the subsystem that turns measured facts and requested effects into decisions. The correct default is fail closed.</w:t>
      </w:r>
    </w:p>
    <w:p>
      <w:pPr>
        <w:pStyle w:val="BodyTight"/>
      </w:pPr>
      <w:r>
        <w:rPr>
          <w:rFonts w:ascii="Liberation Serif" w:hAnsi="Liberation Serif"/>
        </w:rPr>
        <w:t>A fail-closed policy does not silently pass malformed input, guess intent, grant authority, or claim enforcement. It emits a denial reason. This is exactly the behavior that makes Latticra valuable to a developer: failures are not merely red lights; they are explanations of why the state cannot be trusted or the claim cannot be made.</w:t>
      </w:r>
    </w:p>
    <w:p>
      <w:pPr>
        <w:pStyle w:val="Heading2"/>
      </w:pPr>
      <w:r>
        <w:rPr>
          <w:rFonts w:ascii="Liberation Serif" w:hAnsi="Liberation Serif"/>
        </w:rPr>
        <w:t>10.1 Policy input language</w:t>
      </w:r>
    </w:p>
    <w:p>
      <w:pPr>
        <w:pStyle w:val="BodyTight"/>
      </w:pPr>
      <w:r>
        <w:rPr>
          <w:rFonts w:ascii="Liberation Serif" w:hAnsi="Liberation Serif"/>
        </w:rPr>
        <w:t>A mature policy layer should accept a small, explicit input language: manifest scope, authority vector, requested mode, measured evidence, lock status, command identity, and environment facts. That language should be strict enough to reject unknown authority modes and flexible enough to describe future runtime-boundary metadata without implying enforcement.</w:t>
      </w:r>
    </w:p>
    <w:p>
      <w:pPr>
        <w:pStyle w:val="CaptionSmall"/>
      </w:pPr>
      <w:r>
        <w:rPr>
          <w:rFonts w:ascii="Liberation Serif" w:hAnsi="Liberation Serif"/>
        </w:rPr>
        <w:t>Definition 10.1 - Policy input and output sketch.</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PolicyInput = {</w:t>
            </w:r>
            <w:r>
              <w:br/>
            </w:r>
            <w:r>
              <w:rPr>
                <w:rFonts w:ascii="Liberation Mono" w:hAnsi="Liberation Mono"/>
                <w:sz w:val="16"/>
              </w:rPr>
              <w:t xml:space="preserve">    command: "seal.report",</w:t>
            </w:r>
            <w:r>
              <w:br/>
            </w:r>
            <w:r>
              <w:rPr>
                <w:rFonts w:ascii="Liberation Mono" w:hAnsi="Liberation Mono"/>
                <w:sz w:val="16"/>
              </w:rPr>
              <w:t xml:space="preserve">    mode: "report-only",</w:t>
            </w:r>
            <w:r>
              <w:br/>
            </w:r>
            <w:r>
              <w:rPr>
                <w:rFonts w:ascii="Liberation Mono" w:hAnsi="Liberation Mono"/>
                <w:sz w:val="16"/>
              </w:rPr>
              <w:t xml:space="preserve">    scope: ManifestScope,</w:t>
            </w:r>
            <w:r>
              <w:br/>
            </w:r>
            <w:r>
              <w:rPr>
                <w:rFonts w:ascii="Liberation Mono" w:hAnsi="Liberation Mono"/>
                <w:sz w:val="16"/>
              </w:rPr>
              <w:t xml:space="preserve">    requested_authority: AuthorityVector,</w:t>
            </w:r>
            <w:r>
              <w:br/>
            </w:r>
            <w:r>
              <w:rPr>
                <w:rFonts w:ascii="Liberation Mono" w:hAnsi="Liberation Mono"/>
                <w:sz w:val="16"/>
              </w:rPr>
              <w:t xml:space="preserve">    measured: [MeasuredFile],</w:t>
            </w:r>
            <w:r>
              <w:br/>
            </w:r>
            <w:r>
              <w:rPr>
                <w:rFonts w:ascii="Liberation Mono" w:hAnsi="Liberation Mono"/>
                <w:sz w:val="16"/>
              </w:rPr>
              <w:t xml:space="preserve">    lock_present: Bool,</w:t>
            </w:r>
            <w:r>
              <w:br/>
            </w:r>
            <w:r>
              <w:rPr>
                <w:rFonts w:ascii="Liberation Mono" w:hAnsi="Liberation Mono"/>
                <w:sz w:val="16"/>
              </w:rPr>
              <w:t xml:space="preserve">    manifest_present: Bool</w:t>
            </w:r>
            <w:r>
              <w:br/>
            </w:r>
            <w:r>
              <w:rPr>
                <w:rFonts w:ascii="Liberation Mono" w:hAnsi="Liberation Mono"/>
                <w:sz w:val="16"/>
              </w:rPr>
              <w:t>}</w:t>
            </w:r>
            <w:r>
              <w:br/>
            </w:r>
            <w:r>
              <w:rPr>
                <w:rFonts w:ascii="Liberation Mono" w:hAnsi="Liberation Mono"/>
                <w:sz w:val="16"/>
              </w:rPr>
            </w:r>
            <w:r>
              <w:br/>
            </w:r>
            <w:r>
              <w:rPr>
                <w:rFonts w:ascii="Liberation Mono" w:hAnsi="Liberation Mono"/>
                <w:sz w:val="16"/>
              </w:rPr>
              <w:t>PolicyOutput = Pass | Fail(reason) | Deny(reason)</w:t>
            </w:r>
          </w:p>
        </w:tc>
      </w:tr>
    </w:tbl>
    <w:p>
      <w:pPr>
        <w:pStyle w:val="BodyTight"/>
      </w:pPr>
    </w:p>
    <w:p>
      <w:pPr>
        <w:pStyle w:val="Heading2"/>
      </w:pPr>
      <w:r>
        <w:rPr>
          <w:rFonts w:ascii="Liberation Serif" w:hAnsi="Liberation Serif"/>
        </w:rPr>
        <w:t>10.2 Denial is a feature</w:t>
      </w:r>
    </w:p>
    <w:p>
      <w:pPr>
        <w:pStyle w:val="BodyTight"/>
      </w:pPr>
      <w:r>
        <w:rPr>
          <w:rFonts w:ascii="Liberation Serif" w:hAnsi="Liberation Serif"/>
        </w:rPr>
        <w:t>In many systems, a denial is treated as a user experience failure. In Latticra, denial is part of the project promise. A policy-denial regression lane proves that unsafe or unsupported states are rejected. That makes denial a positive evidence artifact, not a nuisance.</w:t>
      </w:r>
    </w:p>
    <w:tbl>
      <w:tblPr>
        <w:tblStyle w:val="TableGrid"/>
        <w:tblW w:type="auto" w:w="0"/>
        <w:jc w:val="center"/>
        <w:tblLook w:firstColumn="1" w:firstRow="1" w:lastColumn="0" w:lastRow="0" w:noHBand="0" w:noVBand="1" w:val="04A0"/>
      </w:tblPr>
      <w:tblGrid>
        <w:gridCol w:w="3331"/>
        <w:gridCol w:w="3331"/>
        <w:gridCol w:w="3331"/>
      </w:tblGrid>
      <w:tr>
        <w:tc>
          <w:tcPr>
            <w:tcW w:type="dxa" w:w="2736"/>
            <w:shd w:fill="E2E8F0"/>
            <w:tcMar>
              <w:top w:w="70" w:type="dxa"/>
              <w:start w:w="70" w:type="dxa"/>
              <w:bottom w:w="70" w:type="dxa"/>
              <w:end w:w="70" w:type="dxa"/>
            </w:tcMar>
            <w:vAlign w:val="center"/>
          </w:tcPr>
          <w:p>
            <w:r/>
            <w:r>
              <w:rPr>
                <w:rFonts w:ascii="Liberation Sans" w:hAnsi="Liberation Sans"/>
                <w:b/>
                <w:color w:val="0F172A"/>
                <w:sz w:val="17"/>
              </w:rPr>
              <w:t>Condition</w:t>
            </w:r>
          </w:p>
        </w:tc>
        <w:tc>
          <w:tcPr>
            <w:tcW w:type="dxa" w:w="2088"/>
            <w:shd w:fill="E2E8F0"/>
            <w:tcMar>
              <w:top w:w="70" w:type="dxa"/>
              <w:start w:w="70" w:type="dxa"/>
              <w:bottom w:w="70" w:type="dxa"/>
              <w:end w:w="70" w:type="dxa"/>
            </w:tcMar>
            <w:vAlign w:val="center"/>
          </w:tcPr>
          <w:p>
            <w:r/>
            <w:r>
              <w:rPr>
                <w:rFonts w:ascii="Liberation Sans" w:hAnsi="Liberation Sans"/>
                <w:b/>
                <w:color w:val="0F172A"/>
                <w:sz w:val="17"/>
              </w:rPr>
              <w:t>Expected policy behavior</w:t>
            </w:r>
          </w:p>
        </w:tc>
        <w:tc>
          <w:tcPr>
            <w:tcW w:type="dxa" w:w="4320"/>
            <w:shd w:fill="E2E8F0"/>
            <w:tcMar>
              <w:top w:w="70" w:type="dxa"/>
              <w:start w:w="70" w:type="dxa"/>
              <w:bottom w:w="70" w:type="dxa"/>
              <w:end w:w="70" w:type="dxa"/>
            </w:tcMar>
            <w:vAlign w:val="center"/>
          </w:tcPr>
          <w:p>
            <w:r/>
            <w:r>
              <w:rPr>
                <w:rFonts w:ascii="Liberation Sans" w:hAnsi="Liberation Sans"/>
                <w:b/>
                <w:color w:val="0F172A"/>
                <w:sz w:val="17"/>
              </w:rPr>
              <w:t>Example reason</w:t>
            </w:r>
          </w:p>
        </w:tc>
      </w:tr>
      <w:tr>
        <w:tc>
          <w:tcPr>
            <w:tcW w:type="dxa" w:w="2736"/>
            <w:tcMar>
              <w:top w:w="60" w:type="dxa"/>
              <w:start w:w="70" w:type="dxa"/>
              <w:bottom w:w="60" w:type="dxa"/>
              <w:end w:w="70" w:type="dxa"/>
            </w:tcMar>
            <w:vAlign w:val="top"/>
          </w:tcPr>
          <w:p>
            <w:pPr>
              <w:spacing w:after="0"/>
            </w:pPr>
            <w:r/>
            <w:r>
              <w:rPr>
                <w:rFonts w:ascii="Liberation Sans" w:hAnsi="Liberation Sans"/>
                <w:color w:val="0F172A"/>
                <w:sz w:val="16"/>
              </w:rPr>
              <w:t>Malformed manifest</w:t>
            </w:r>
          </w:p>
        </w:tc>
        <w:tc>
          <w:tcPr>
            <w:tcW w:type="dxa" w:w="2088"/>
            <w:tcMar>
              <w:top w:w="60" w:type="dxa"/>
              <w:start w:w="70" w:type="dxa"/>
              <w:bottom w:w="60" w:type="dxa"/>
              <w:end w:w="70" w:type="dxa"/>
            </w:tcMar>
            <w:vAlign w:val="top"/>
          </w:tcPr>
          <w:p>
            <w:pPr>
              <w:spacing w:after="0"/>
            </w:pPr>
            <w:r/>
            <w:r>
              <w:rPr>
                <w:rFonts w:ascii="Liberation Sans" w:hAnsi="Liberation Sans"/>
                <w:color w:val="0F172A"/>
                <w:sz w:val="16"/>
              </w:rPr>
              <w:t>Deny</w:t>
            </w:r>
          </w:p>
        </w:tc>
        <w:tc>
          <w:tcPr>
            <w:tcW w:type="dxa" w:w="4320"/>
            <w:tcMar>
              <w:top w:w="60" w:type="dxa"/>
              <w:start w:w="70" w:type="dxa"/>
              <w:bottom w:w="60" w:type="dxa"/>
              <w:end w:w="70" w:type="dxa"/>
            </w:tcMar>
            <w:vAlign w:val="top"/>
          </w:tcPr>
          <w:p>
            <w:pPr>
              <w:spacing w:after="0"/>
            </w:pPr>
            <w:r/>
            <w:r>
              <w:rPr>
                <w:rFonts w:ascii="Liberation Sans" w:hAnsi="Liberation Sans"/>
                <w:color w:val="0F172A"/>
                <w:sz w:val="16"/>
              </w:rPr>
              <w:t>manifest could not be parsed safely.</w:t>
            </w:r>
          </w:p>
        </w:tc>
      </w:tr>
      <w:tr>
        <w:tc>
          <w:tcPr>
            <w:tcW w:type="dxa" w:w="2736"/>
            <w:tcMar>
              <w:top w:w="60" w:type="dxa"/>
              <w:start w:w="70" w:type="dxa"/>
              <w:bottom w:w="60" w:type="dxa"/>
              <w:end w:w="70" w:type="dxa"/>
            </w:tcMar>
            <w:vAlign w:val="top"/>
          </w:tcPr>
          <w:p>
            <w:pPr>
              <w:spacing w:after="0"/>
            </w:pPr>
            <w:r/>
            <w:r>
              <w:rPr>
                <w:rFonts w:ascii="Liberation Sans" w:hAnsi="Liberation Sans"/>
                <w:color w:val="0F172A"/>
                <w:sz w:val="16"/>
              </w:rPr>
              <w:t>Path outside declared scope</w:t>
            </w:r>
          </w:p>
        </w:tc>
        <w:tc>
          <w:tcPr>
            <w:tcW w:type="dxa" w:w="2088"/>
            <w:tcMar>
              <w:top w:w="60" w:type="dxa"/>
              <w:start w:w="70" w:type="dxa"/>
              <w:bottom w:w="60" w:type="dxa"/>
              <w:end w:w="70" w:type="dxa"/>
            </w:tcMar>
            <w:vAlign w:val="top"/>
          </w:tcPr>
          <w:p>
            <w:pPr>
              <w:spacing w:after="0"/>
            </w:pPr>
            <w:r/>
            <w:r>
              <w:rPr>
                <w:rFonts w:ascii="Liberation Sans" w:hAnsi="Liberation Sans"/>
                <w:color w:val="0F172A"/>
                <w:sz w:val="16"/>
              </w:rPr>
              <w:t>Deny</w:t>
            </w:r>
          </w:p>
        </w:tc>
        <w:tc>
          <w:tcPr>
            <w:tcW w:type="dxa" w:w="4320"/>
            <w:tcMar>
              <w:top w:w="60" w:type="dxa"/>
              <w:start w:w="70" w:type="dxa"/>
              <w:bottom w:w="60" w:type="dxa"/>
              <w:end w:w="70" w:type="dxa"/>
            </w:tcMar>
            <w:vAlign w:val="top"/>
          </w:tcPr>
          <w:p>
            <w:pPr>
              <w:spacing w:after="0"/>
            </w:pPr>
            <w:r/>
            <w:r>
              <w:rPr>
                <w:rFonts w:ascii="Liberation Sans" w:hAnsi="Liberation Sans"/>
                <w:color w:val="0F172A"/>
                <w:sz w:val="16"/>
              </w:rPr>
              <w:t>path escapes manifest scope.</w:t>
            </w:r>
          </w:p>
        </w:tc>
      </w:tr>
      <w:tr>
        <w:tc>
          <w:tcPr>
            <w:tcW w:type="dxa" w:w="2736"/>
            <w:tcMar>
              <w:top w:w="60" w:type="dxa"/>
              <w:start w:w="70" w:type="dxa"/>
              <w:bottom w:w="60" w:type="dxa"/>
              <w:end w:w="70" w:type="dxa"/>
            </w:tcMar>
            <w:vAlign w:val="top"/>
          </w:tcPr>
          <w:p>
            <w:pPr>
              <w:spacing w:after="0"/>
            </w:pPr>
            <w:r/>
            <w:r>
              <w:rPr>
                <w:rFonts w:ascii="Liberation Sans" w:hAnsi="Liberation Sans"/>
                <w:color w:val="0F172A"/>
                <w:sz w:val="16"/>
              </w:rPr>
              <w:t>network_authority=true</w:t>
            </w:r>
          </w:p>
        </w:tc>
        <w:tc>
          <w:tcPr>
            <w:tcW w:type="dxa" w:w="2088"/>
            <w:tcMar>
              <w:top w:w="60" w:type="dxa"/>
              <w:start w:w="70" w:type="dxa"/>
              <w:bottom w:w="60" w:type="dxa"/>
              <w:end w:w="70" w:type="dxa"/>
            </w:tcMar>
            <w:vAlign w:val="top"/>
          </w:tcPr>
          <w:p>
            <w:pPr>
              <w:spacing w:after="0"/>
            </w:pPr>
            <w:r/>
            <w:r>
              <w:rPr>
                <w:rFonts w:ascii="Liberation Sans" w:hAnsi="Liberation Sans"/>
                <w:color w:val="0F172A"/>
                <w:sz w:val="16"/>
              </w:rPr>
              <w:t>Deny</w:t>
            </w:r>
          </w:p>
        </w:tc>
        <w:tc>
          <w:tcPr>
            <w:tcW w:type="dxa" w:w="4320"/>
            <w:tcMar>
              <w:top w:w="60" w:type="dxa"/>
              <w:start w:w="70" w:type="dxa"/>
              <w:bottom w:w="60" w:type="dxa"/>
              <w:end w:w="70" w:type="dxa"/>
            </w:tcMar>
            <w:vAlign w:val="top"/>
          </w:tcPr>
          <w:p>
            <w:pPr>
              <w:spacing w:after="0"/>
            </w:pPr>
            <w:r/>
            <w:r>
              <w:rPr>
                <w:rFonts w:ascii="Liberation Sans" w:hAnsi="Liberation Sans"/>
                <w:color w:val="0F172A"/>
                <w:sz w:val="16"/>
              </w:rPr>
              <w:t>network authority not implemented.</w:t>
            </w:r>
          </w:p>
        </w:tc>
      </w:tr>
      <w:tr>
        <w:tc>
          <w:tcPr>
            <w:tcW w:type="dxa" w:w="2736"/>
            <w:tcMar>
              <w:top w:w="60" w:type="dxa"/>
              <w:start w:w="70" w:type="dxa"/>
              <w:bottom w:w="60" w:type="dxa"/>
              <w:end w:w="70" w:type="dxa"/>
            </w:tcMar>
            <w:vAlign w:val="top"/>
          </w:tcPr>
          <w:p>
            <w:pPr>
              <w:spacing w:after="0"/>
            </w:pPr>
            <w:r/>
            <w:r>
              <w:rPr>
                <w:rFonts w:ascii="Liberation Sans" w:hAnsi="Liberation Sans"/>
                <w:color w:val="0F172A"/>
                <w:sz w:val="16"/>
              </w:rPr>
              <w:t>root_authority=true</w:t>
            </w:r>
          </w:p>
        </w:tc>
        <w:tc>
          <w:tcPr>
            <w:tcW w:type="dxa" w:w="2088"/>
            <w:tcMar>
              <w:top w:w="60" w:type="dxa"/>
              <w:start w:w="70" w:type="dxa"/>
              <w:bottom w:w="60" w:type="dxa"/>
              <w:end w:w="70" w:type="dxa"/>
            </w:tcMar>
            <w:vAlign w:val="top"/>
          </w:tcPr>
          <w:p>
            <w:pPr>
              <w:spacing w:after="0"/>
            </w:pPr>
            <w:r/>
            <w:r>
              <w:rPr>
                <w:rFonts w:ascii="Liberation Sans" w:hAnsi="Liberation Sans"/>
                <w:color w:val="0F172A"/>
                <w:sz w:val="16"/>
              </w:rPr>
              <w:t>Deny</w:t>
            </w:r>
          </w:p>
        </w:tc>
        <w:tc>
          <w:tcPr>
            <w:tcW w:type="dxa" w:w="4320"/>
            <w:tcMar>
              <w:top w:w="60" w:type="dxa"/>
              <w:start w:w="70" w:type="dxa"/>
              <w:bottom w:w="60" w:type="dxa"/>
              <w:end w:w="70" w:type="dxa"/>
            </w:tcMar>
            <w:vAlign w:val="top"/>
          </w:tcPr>
          <w:p>
            <w:pPr>
              <w:spacing w:after="0"/>
            </w:pPr>
            <w:r/>
            <w:r>
              <w:rPr>
                <w:rFonts w:ascii="Liberation Sans" w:hAnsi="Liberation Sans"/>
                <w:color w:val="0F172A"/>
                <w:sz w:val="16"/>
              </w:rPr>
              <w:t>root authority not allowed in current lane.</w:t>
            </w:r>
          </w:p>
        </w:tc>
      </w:tr>
      <w:tr>
        <w:tc>
          <w:tcPr>
            <w:tcW w:type="dxa" w:w="2736"/>
            <w:tcMar>
              <w:top w:w="60" w:type="dxa"/>
              <w:start w:w="70" w:type="dxa"/>
              <w:bottom w:w="60" w:type="dxa"/>
              <w:end w:w="70" w:type="dxa"/>
            </w:tcMar>
            <w:vAlign w:val="top"/>
          </w:tcPr>
          <w:p>
            <w:pPr>
              <w:spacing w:after="0"/>
            </w:pPr>
            <w:r/>
            <w:r>
              <w:rPr>
                <w:rFonts w:ascii="Liberation Sans" w:hAnsi="Liberation Sans"/>
                <w:color w:val="0F172A"/>
                <w:sz w:val="16"/>
              </w:rPr>
              <w:t>runtime enforcement claim</w:t>
            </w:r>
          </w:p>
        </w:tc>
        <w:tc>
          <w:tcPr>
            <w:tcW w:type="dxa" w:w="2088"/>
            <w:tcMar>
              <w:top w:w="60" w:type="dxa"/>
              <w:start w:w="70" w:type="dxa"/>
              <w:bottom w:w="60" w:type="dxa"/>
              <w:end w:w="70" w:type="dxa"/>
            </w:tcMar>
            <w:vAlign w:val="top"/>
          </w:tcPr>
          <w:p>
            <w:pPr>
              <w:spacing w:after="0"/>
            </w:pPr>
            <w:r/>
            <w:r>
              <w:rPr>
                <w:rFonts w:ascii="Liberation Sans" w:hAnsi="Liberation Sans"/>
                <w:color w:val="0F172A"/>
                <w:sz w:val="16"/>
              </w:rPr>
              <w:t>Deny</w:t>
            </w:r>
          </w:p>
        </w:tc>
        <w:tc>
          <w:tcPr>
            <w:tcW w:type="dxa" w:w="4320"/>
            <w:tcMar>
              <w:top w:w="60" w:type="dxa"/>
              <w:start w:w="70" w:type="dxa"/>
              <w:bottom w:w="60" w:type="dxa"/>
              <w:end w:w="70" w:type="dxa"/>
            </w:tcMar>
            <w:vAlign w:val="top"/>
          </w:tcPr>
          <w:p>
            <w:pPr>
              <w:spacing w:after="0"/>
            </w:pPr>
            <w:r/>
            <w:r>
              <w:rPr>
                <w:rFonts w:ascii="Liberation Sans" w:hAnsi="Liberation Sans"/>
                <w:color w:val="0F172A"/>
                <w:sz w:val="16"/>
              </w:rPr>
              <w:t>runtime enforcement not implemented or tested.</w:t>
            </w:r>
          </w:p>
        </w:tc>
      </w:tr>
      <w:tr>
        <w:tc>
          <w:tcPr>
            <w:tcW w:type="dxa" w:w="2736"/>
            <w:tcMar>
              <w:top w:w="60" w:type="dxa"/>
              <w:start w:w="70" w:type="dxa"/>
              <w:bottom w:w="60" w:type="dxa"/>
              <w:end w:w="70" w:type="dxa"/>
            </w:tcMar>
            <w:vAlign w:val="top"/>
          </w:tcPr>
          <w:p>
            <w:pPr>
              <w:spacing w:after="0"/>
            </w:pPr>
            <w:r/>
            <w:r>
              <w:rPr>
                <w:rFonts w:ascii="Liberation Sans" w:hAnsi="Liberation Sans"/>
                <w:color w:val="0F172A"/>
                <w:sz w:val="16"/>
              </w:rPr>
              <w:t>Changed hash</w:t>
            </w:r>
          </w:p>
        </w:tc>
        <w:tc>
          <w:tcPr>
            <w:tcW w:type="dxa" w:w="2088"/>
            <w:tcMar>
              <w:top w:w="60" w:type="dxa"/>
              <w:start w:w="70" w:type="dxa"/>
              <w:bottom w:w="60" w:type="dxa"/>
              <w:end w:w="70" w:type="dxa"/>
            </w:tcMar>
            <w:vAlign w:val="top"/>
          </w:tcPr>
          <w:p>
            <w:pPr>
              <w:spacing w:after="0"/>
            </w:pPr>
            <w:r/>
            <w:r>
              <w:rPr>
                <w:rFonts w:ascii="Liberation Sans" w:hAnsi="Liberation Sans"/>
                <w:color w:val="0F172A"/>
                <w:sz w:val="16"/>
              </w:rPr>
              <w:t>Fail or report change</w:t>
            </w:r>
          </w:p>
        </w:tc>
        <w:tc>
          <w:tcPr>
            <w:tcW w:type="dxa" w:w="4320"/>
            <w:tcMar>
              <w:top w:w="60" w:type="dxa"/>
              <w:start w:w="70" w:type="dxa"/>
              <w:bottom w:w="60" w:type="dxa"/>
              <w:end w:w="70" w:type="dxa"/>
            </w:tcMar>
            <w:vAlign w:val="top"/>
          </w:tcPr>
          <w:p>
            <w:pPr>
              <w:spacing w:after="0"/>
            </w:pPr>
            <w:r/>
            <w:r>
              <w:rPr>
                <w:rFonts w:ascii="Liberation Sans" w:hAnsi="Liberation Sans"/>
                <w:color w:val="0F172A"/>
                <w:sz w:val="16"/>
              </w:rPr>
              <w:t>current digest differs from lock baseline.</w:t>
            </w:r>
          </w:p>
        </w:tc>
      </w:tr>
      <w:tr>
        <w:tc>
          <w:tcPr>
            <w:tcW w:type="dxa" w:w="2736"/>
            <w:tcMar>
              <w:top w:w="60" w:type="dxa"/>
              <w:start w:w="70" w:type="dxa"/>
              <w:bottom w:w="60" w:type="dxa"/>
              <w:end w:w="70" w:type="dxa"/>
            </w:tcMar>
            <w:vAlign w:val="top"/>
          </w:tcPr>
          <w:p>
            <w:pPr>
              <w:spacing w:after="0"/>
            </w:pPr>
            <w:r/>
            <w:r>
              <w:rPr>
                <w:rFonts w:ascii="Liberation Sans" w:hAnsi="Liberation Sans"/>
                <w:color w:val="0F172A"/>
                <w:sz w:val="16"/>
              </w:rPr>
              <w:t>Missing lock</w:t>
            </w:r>
          </w:p>
        </w:tc>
        <w:tc>
          <w:tcPr>
            <w:tcW w:type="dxa" w:w="2088"/>
            <w:tcMar>
              <w:top w:w="60" w:type="dxa"/>
              <w:start w:w="70" w:type="dxa"/>
              <w:bottom w:w="60" w:type="dxa"/>
              <w:end w:w="70" w:type="dxa"/>
            </w:tcMar>
            <w:vAlign w:val="top"/>
          </w:tcPr>
          <w:p>
            <w:pPr>
              <w:spacing w:after="0"/>
            </w:pPr>
            <w:r/>
            <w:r>
              <w:rPr>
                <w:rFonts w:ascii="Liberation Sans" w:hAnsi="Liberation Sans"/>
                <w:color w:val="0F172A"/>
                <w:sz w:val="16"/>
              </w:rPr>
              <w:t>Fail or warn by mode</w:t>
            </w:r>
          </w:p>
        </w:tc>
        <w:tc>
          <w:tcPr>
            <w:tcW w:type="dxa" w:w="4320"/>
            <w:tcMar>
              <w:top w:w="60" w:type="dxa"/>
              <w:start w:w="70" w:type="dxa"/>
              <w:bottom w:w="60" w:type="dxa"/>
              <w:end w:w="70" w:type="dxa"/>
            </w:tcMar>
            <w:vAlign w:val="top"/>
          </w:tcPr>
          <w:p>
            <w:pPr>
              <w:spacing w:after="0"/>
            </w:pPr>
            <w:r/>
            <w:r>
              <w:rPr>
                <w:rFonts w:ascii="Liberation Sans" w:hAnsi="Liberation Sans"/>
                <w:color w:val="0F172A"/>
                <w:sz w:val="16"/>
              </w:rPr>
              <w:t>baseline unavailable for verification.</w:t>
            </w:r>
          </w:p>
        </w:tc>
      </w:tr>
    </w:tbl>
    <w:p>
      <w:pPr>
        <w:pStyle w:val="BodyTight"/>
      </w:pPr>
    </w:p>
    <w:p>
      <w:pPr>
        <w:pStyle w:val="Heading2"/>
      </w:pPr>
      <w:r>
        <w:rPr>
          <w:rFonts w:ascii="Liberation Serif" w:hAnsi="Liberation Serif"/>
        </w:rPr>
        <w:t>10.3 Policy and language design</w:t>
      </w:r>
    </w:p>
    <w:p>
      <w:pPr>
        <w:pStyle w:val="BodyTight"/>
      </w:pPr>
      <w:r>
        <w:rPr>
          <w:rFonts w:ascii="Liberation Serif" w:hAnsi="Liberation Serif"/>
        </w:rPr>
        <w:t>A computer scientist can view Latticra policy as a static analysis over claimed effects. The analyzer has simple goals: reject unknown syntax, reject unsound authority, reject out-of-scope paths, and produce precise errors. This is the right direction because the project is not yet trying to be an all-knowing runtime guard; it is trying to make the static and local story correct.</w:t>
      </w:r>
    </w:p>
    <w:p>
      <w:pPr>
        <w:pStyle w:val="Heading1"/>
      </w:pPr>
      <w:r>
        <w:rPr>
          <w:rFonts w:ascii="Liberation Serif" w:hAnsi="Liberation Serif"/>
        </w:rPr>
        <w:t>Chapter 11. Reports, Receipts, and Witness Objects</w:t>
      </w:r>
    </w:p>
    <w:p>
      <w:pPr>
        <w:pStyle w:val="Lead"/>
      </w:pPr>
      <w:r>
        <w:rPr>
          <w:rFonts w:ascii="Liberation Serif" w:hAnsi="Liberation Serif"/>
        </w:rPr>
        <w:t>The substrate is only as useful as the evidence it leaves behind. Latticra should treat every report, receipt, and manifest as a witness object with a schema.</w:t>
      </w:r>
    </w:p>
    <w:p>
      <w:pPr>
        <w:pStyle w:val="BodyTight"/>
      </w:pPr>
      <w:r>
        <w:rPr>
          <w:rFonts w:ascii="Liberation Serif" w:hAnsi="Liberation Serif"/>
        </w:rPr>
        <w:t>A witness object is a record that lets another program or human reconstruct what was checked, when it was checked, where it was checked, which mode was used, what changed, what failed, and what authority was not used. This is more than logging. A log can be incidental. A witness object is designed.</w:t>
      </w:r>
    </w:p>
    <w:p>
      <w:pPr>
        <w:pStyle w:val="Heading2"/>
      </w:pPr>
      <w:r>
        <w:rPr>
          <w:rFonts w:ascii="Liberation Serif" w:hAnsi="Liberation Serif"/>
        </w:rPr>
        <w:t>11.1 Report semantics</w:t>
      </w:r>
    </w:p>
    <w:p>
      <w:pPr>
        <w:pStyle w:val="BodyTight"/>
      </w:pPr>
      <w:r>
        <w:rPr>
          <w:rFonts w:ascii="Liberation Serif" w:hAnsi="Liberation Serif"/>
        </w:rPr>
        <w:t>A Seal report should be read as a bounded statement about the relationship between current local evidence and declared expectations. PASS means the checked evidence matched the command expectations. FAIL means evidence or policy did not match. DENY means the tool refused to proceed because the request or state was unsafe, unsupported, malformed, or out of scope.</w:t>
      </w:r>
    </w:p>
    <w:tbl>
      <w:tblPr>
        <w:tblStyle w:val="TableGrid"/>
        <w:tblW w:type="auto" w:w="0"/>
        <w:jc w:val="center"/>
        <w:tblLook w:firstColumn="1" w:firstRow="1" w:lastColumn="0" w:lastRow="0" w:noHBand="0" w:noVBand="1" w:val="04A0"/>
      </w:tblPr>
      <w:tblGrid>
        <w:gridCol w:w="3331"/>
        <w:gridCol w:w="3331"/>
        <w:gridCol w:w="3331"/>
      </w:tblGrid>
      <w:tr>
        <w:tc>
          <w:tcPr>
            <w:tcW w:type="dxa" w:w="1584"/>
            <w:shd w:fill="E2E8F0"/>
            <w:tcMar>
              <w:top w:w="70" w:type="dxa"/>
              <w:start w:w="70" w:type="dxa"/>
              <w:bottom w:w="70" w:type="dxa"/>
              <w:end w:w="70" w:type="dxa"/>
            </w:tcMar>
            <w:vAlign w:val="center"/>
          </w:tcPr>
          <w:p>
            <w:r/>
            <w:r>
              <w:rPr>
                <w:rFonts w:ascii="Liberation Sans" w:hAnsi="Liberation Sans"/>
                <w:b/>
                <w:color w:val="0F172A"/>
                <w:sz w:val="17"/>
              </w:rPr>
              <w:t>Status</w:t>
            </w:r>
          </w:p>
        </w:tc>
        <w:tc>
          <w:tcPr>
            <w:tcW w:type="dxa" w:w="4320"/>
            <w:shd w:fill="E2E8F0"/>
            <w:tcMar>
              <w:top w:w="70" w:type="dxa"/>
              <w:start w:w="70" w:type="dxa"/>
              <w:bottom w:w="70" w:type="dxa"/>
              <w:end w:w="70" w:type="dxa"/>
            </w:tcMar>
            <w:vAlign w:val="center"/>
          </w:tcPr>
          <w:p>
            <w:r/>
            <w:r>
              <w:rPr>
                <w:rFonts w:ascii="Liberation Sans" w:hAnsi="Liberation Sans"/>
                <w:b/>
                <w:color w:val="0F172A"/>
                <w:sz w:val="17"/>
              </w:rPr>
              <w:t>Meaning</w:t>
            </w:r>
          </w:p>
        </w:tc>
        <w:tc>
          <w:tcPr>
            <w:tcW w:type="dxa" w:w="3600"/>
            <w:shd w:fill="E2E8F0"/>
            <w:tcMar>
              <w:top w:w="70" w:type="dxa"/>
              <w:start w:w="70" w:type="dxa"/>
              <w:bottom w:w="70" w:type="dxa"/>
              <w:end w:w="70" w:type="dxa"/>
            </w:tcMar>
            <w:vAlign w:val="center"/>
          </w:tcPr>
          <w:p>
            <w:r/>
            <w:r>
              <w:rPr>
                <w:rFonts w:ascii="Liberation Sans" w:hAnsi="Liberation Sans"/>
                <w:b/>
                <w:color w:val="0F172A"/>
                <w:sz w:val="17"/>
              </w:rPr>
              <w:t>Non-meaning</w:t>
            </w:r>
          </w:p>
        </w:tc>
      </w:tr>
      <w:tr>
        <w:tc>
          <w:tcPr>
            <w:tcW w:type="dxa" w:w="1584"/>
            <w:tcMar>
              <w:top w:w="60" w:type="dxa"/>
              <w:start w:w="70" w:type="dxa"/>
              <w:bottom w:w="60" w:type="dxa"/>
              <w:end w:w="70" w:type="dxa"/>
            </w:tcMar>
            <w:vAlign w:val="top"/>
          </w:tcPr>
          <w:p>
            <w:pPr>
              <w:spacing w:after="0"/>
            </w:pPr>
            <w:r/>
            <w:r>
              <w:rPr>
                <w:rFonts w:ascii="Liberation Sans" w:hAnsi="Liberation Sans"/>
                <w:color w:val="0F172A"/>
                <w:sz w:val="16"/>
              </w:rPr>
              <w:t>PASS</w:t>
            </w:r>
          </w:p>
        </w:tc>
        <w:tc>
          <w:tcPr>
            <w:tcW w:type="dxa" w:w="4320"/>
            <w:tcMar>
              <w:top w:w="60" w:type="dxa"/>
              <w:start w:w="70" w:type="dxa"/>
              <w:bottom w:w="60" w:type="dxa"/>
              <w:end w:w="70" w:type="dxa"/>
            </w:tcMar>
            <w:vAlign w:val="top"/>
          </w:tcPr>
          <w:p>
            <w:pPr>
              <w:spacing w:after="0"/>
            </w:pPr>
            <w:r/>
            <w:r>
              <w:rPr>
                <w:rFonts w:ascii="Liberation Sans" w:hAnsi="Liberation Sans"/>
                <w:color w:val="0F172A"/>
                <w:sz w:val="16"/>
              </w:rPr>
              <w:t>Checked local evidence matched declared expectations.</w:t>
            </w:r>
          </w:p>
        </w:tc>
        <w:tc>
          <w:tcPr>
            <w:tcW w:type="dxa" w:w="3600"/>
            <w:tcMar>
              <w:top w:w="60" w:type="dxa"/>
              <w:start w:w="70" w:type="dxa"/>
              <w:bottom w:w="60" w:type="dxa"/>
              <w:end w:w="70" w:type="dxa"/>
            </w:tcMar>
            <w:vAlign w:val="top"/>
          </w:tcPr>
          <w:p>
            <w:pPr>
              <w:spacing w:after="0"/>
            </w:pPr>
            <w:r/>
            <w:r>
              <w:rPr>
                <w:rFonts w:ascii="Liberation Sans" w:hAnsi="Liberation Sans"/>
                <w:color w:val="0F172A"/>
                <w:sz w:val="16"/>
              </w:rPr>
              <w:t>Does not mean the host is secure.</w:t>
            </w:r>
          </w:p>
        </w:tc>
      </w:tr>
      <w:tr>
        <w:tc>
          <w:tcPr>
            <w:tcW w:type="dxa" w:w="1584"/>
            <w:tcMar>
              <w:top w:w="60" w:type="dxa"/>
              <w:start w:w="70" w:type="dxa"/>
              <w:bottom w:w="60" w:type="dxa"/>
              <w:end w:w="70" w:type="dxa"/>
            </w:tcMar>
            <w:vAlign w:val="top"/>
          </w:tcPr>
          <w:p>
            <w:pPr>
              <w:spacing w:after="0"/>
            </w:pPr>
            <w:r/>
            <w:r>
              <w:rPr>
                <w:rFonts w:ascii="Liberation Sans" w:hAnsi="Liberation Sans"/>
                <w:color w:val="0F172A"/>
                <w:sz w:val="16"/>
              </w:rPr>
              <w:t>FAIL</w:t>
            </w:r>
          </w:p>
        </w:tc>
        <w:tc>
          <w:tcPr>
            <w:tcW w:type="dxa" w:w="4320"/>
            <w:tcMar>
              <w:top w:w="60" w:type="dxa"/>
              <w:start w:w="70" w:type="dxa"/>
              <w:bottom w:w="60" w:type="dxa"/>
              <w:end w:w="70" w:type="dxa"/>
            </w:tcMar>
            <w:vAlign w:val="top"/>
          </w:tcPr>
          <w:p>
            <w:pPr>
              <w:spacing w:after="0"/>
            </w:pPr>
            <w:r/>
            <w:r>
              <w:rPr>
                <w:rFonts w:ascii="Liberation Sans" w:hAnsi="Liberation Sans"/>
                <w:color w:val="0F172A"/>
                <w:sz w:val="16"/>
              </w:rPr>
              <w:t>Evidence did not match or the check could not complete safely.</w:t>
            </w:r>
          </w:p>
        </w:tc>
        <w:tc>
          <w:tcPr>
            <w:tcW w:type="dxa" w:w="3600"/>
            <w:tcMar>
              <w:top w:w="60" w:type="dxa"/>
              <w:start w:w="70" w:type="dxa"/>
              <w:bottom w:w="60" w:type="dxa"/>
              <w:end w:w="70" w:type="dxa"/>
            </w:tcMar>
            <w:vAlign w:val="top"/>
          </w:tcPr>
          <w:p>
            <w:pPr>
              <w:spacing w:after="0"/>
            </w:pPr>
            <w:r/>
            <w:r>
              <w:rPr>
                <w:rFonts w:ascii="Liberation Sans" w:hAnsi="Liberation Sans"/>
                <w:color w:val="0F172A"/>
                <w:sz w:val="16"/>
              </w:rPr>
              <w:t>Does not necessarily imply compromise.</w:t>
            </w:r>
          </w:p>
        </w:tc>
      </w:tr>
      <w:tr>
        <w:tc>
          <w:tcPr>
            <w:tcW w:type="dxa" w:w="1584"/>
            <w:tcMar>
              <w:top w:w="60" w:type="dxa"/>
              <w:start w:w="70" w:type="dxa"/>
              <w:bottom w:w="60" w:type="dxa"/>
              <w:end w:w="70" w:type="dxa"/>
            </w:tcMar>
            <w:vAlign w:val="top"/>
          </w:tcPr>
          <w:p>
            <w:pPr>
              <w:spacing w:after="0"/>
            </w:pPr>
            <w:r/>
            <w:r>
              <w:rPr>
                <w:rFonts w:ascii="Liberation Sans" w:hAnsi="Liberation Sans"/>
                <w:color w:val="0F172A"/>
                <w:sz w:val="16"/>
              </w:rPr>
              <w:t>DENY</w:t>
            </w:r>
          </w:p>
        </w:tc>
        <w:tc>
          <w:tcPr>
            <w:tcW w:type="dxa" w:w="4320"/>
            <w:tcMar>
              <w:top w:w="60" w:type="dxa"/>
              <w:start w:w="70" w:type="dxa"/>
              <w:bottom w:w="60" w:type="dxa"/>
              <w:end w:w="70" w:type="dxa"/>
            </w:tcMar>
            <w:vAlign w:val="top"/>
          </w:tcPr>
          <w:p>
            <w:pPr>
              <w:spacing w:after="0"/>
            </w:pPr>
            <w:r/>
            <w:r>
              <w:rPr>
                <w:rFonts w:ascii="Liberation Sans" w:hAnsi="Liberation Sans"/>
                <w:color w:val="0F172A"/>
                <w:sz w:val="16"/>
              </w:rPr>
              <w:t>Policy rejected request or state before accepting it as valid.</w:t>
            </w:r>
          </w:p>
        </w:tc>
        <w:tc>
          <w:tcPr>
            <w:tcW w:type="dxa" w:w="3600"/>
            <w:tcMar>
              <w:top w:w="60" w:type="dxa"/>
              <w:start w:w="70" w:type="dxa"/>
              <w:bottom w:w="60" w:type="dxa"/>
              <w:end w:w="70" w:type="dxa"/>
            </w:tcMar>
            <w:vAlign w:val="top"/>
          </w:tcPr>
          <w:p>
            <w:pPr>
              <w:spacing w:after="0"/>
            </w:pPr>
            <w:r/>
            <w:r>
              <w:rPr>
                <w:rFonts w:ascii="Liberation Sans" w:hAnsi="Liberation Sans"/>
                <w:color w:val="0F172A"/>
                <w:sz w:val="16"/>
              </w:rPr>
              <w:t>Does not mean the project is broken.</w:t>
            </w:r>
          </w:p>
        </w:tc>
      </w:tr>
      <w:tr>
        <w:tc>
          <w:tcPr>
            <w:tcW w:type="dxa" w:w="1584"/>
            <w:tcMar>
              <w:top w:w="60" w:type="dxa"/>
              <w:start w:w="70" w:type="dxa"/>
              <w:bottom w:w="60" w:type="dxa"/>
              <w:end w:w="70" w:type="dxa"/>
            </w:tcMar>
            <w:vAlign w:val="top"/>
          </w:tcPr>
          <w:p>
            <w:pPr>
              <w:spacing w:after="0"/>
            </w:pPr>
            <w:r/>
            <w:r>
              <w:rPr>
                <w:rFonts w:ascii="Liberation Sans" w:hAnsi="Liberation Sans"/>
                <w:color w:val="0F172A"/>
                <w:sz w:val="16"/>
              </w:rPr>
              <w:t>WARN</w:t>
            </w:r>
          </w:p>
        </w:tc>
        <w:tc>
          <w:tcPr>
            <w:tcW w:type="dxa" w:w="4320"/>
            <w:tcMar>
              <w:top w:w="60" w:type="dxa"/>
              <w:start w:w="70" w:type="dxa"/>
              <w:bottom w:w="60" w:type="dxa"/>
              <w:end w:w="70" w:type="dxa"/>
            </w:tcMar>
            <w:vAlign w:val="top"/>
          </w:tcPr>
          <w:p>
            <w:pPr>
              <w:spacing w:after="0"/>
            </w:pPr>
            <w:r/>
            <w:r>
              <w:rPr>
                <w:rFonts w:ascii="Liberation Sans" w:hAnsi="Liberation Sans"/>
                <w:color w:val="0F172A"/>
                <w:sz w:val="16"/>
              </w:rPr>
              <w:t>A non-fatal issue should be read by the operator.</w:t>
            </w:r>
          </w:p>
        </w:tc>
        <w:tc>
          <w:tcPr>
            <w:tcW w:type="dxa" w:w="3600"/>
            <w:tcMar>
              <w:top w:w="60" w:type="dxa"/>
              <w:start w:w="70" w:type="dxa"/>
              <w:bottom w:w="60" w:type="dxa"/>
              <w:end w:w="70" w:type="dxa"/>
            </w:tcMar>
            <w:vAlign w:val="top"/>
          </w:tcPr>
          <w:p>
            <w:pPr>
              <w:spacing w:after="0"/>
            </w:pPr>
            <w:r/>
            <w:r>
              <w:rPr>
                <w:rFonts w:ascii="Liberation Sans" w:hAnsi="Liberation Sans"/>
                <w:color w:val="0F172A"/>
                <w:sz w:val="16"/>
              </w:rPr>
              <w:t>Does not grant authority.</w:t>
            </w:r>
          </w:p>
        </w:tc>
      </w:tr>
    </w:tbl>
    <w:p>
      <w:pPr>
        <w:pStyle w:val="BodyTight"/>
      </w:pPr>
    </w:p>
    <w:p>
      <w:pPr>
        <w:pStyle w:val="Heading2"/>
      </w:pPr>
      <w:r>
        <w:rPr>
          <w:rFonts w:ascii="Liberation Serif" w:hAnsi="Liberation Serif"/>
        </w:rPr>
        <w:t>11.2 Receipt semantics</w:t>
      </w:r>
    </w:p>
    <w:p>
      <w:pPr>
        <w:pStyle w:val="BodyTight"/>
      </w:pPr>
      <w:r>
        <w:rPr>
          <w:rFonts w:ascii="Liberation Serif" w:hAnsi="Liberation Serif"/>
        </w:rPr>
        <w:t>Receipts should be constructed so that an auditor can answer two questions: what did the operator ask for, and what did the project actually do? The receipt should include config, plan, target prefix, result, installed paths, and authority flags. In a future signed-evidence model, receipts may also include signatures, key identifiers, or certificate chains, but those should not be claimed until implemented and tested.</w:t>
      </w:r>
    </w:p>
    <w:p>
      <w:pPr>
        <w:pStyle w:val="Heading2"/>
      </w:pPr>
      <w:r>
        <w:rPr>
          <w:rFonts w:ascii="Liberation Serif" w:hAnsi="Liberation Serif"/>
        </w:rPr>
        <w:t>11.3 Witness graph</w:t>
      </w:r>
    </w:p>
    <w:p>
      <w:pPr>
        <w:pStyle w:val="CaptionSmall"/>
      </w:pPr>
      <w:r>
        <w:rPr>
          <w:rFonts w:ascii="Liberation Serif" w:hAnsi="Liberation Serif"/>
        </w:rPr>
        <w:t>Figure 11.1 - Witness graph.</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Config C  -----&gt;  Plan P  -----&gt;  Effect E  -----&gt;  Receipt R</w:t>
            </w:r>
            <w:r>
              <w:br/>
            </w:r>
            <w:r>
              <w:rPr>
                <w:rFonts w:ascii="Liberation Mono" w:hAnsi="Liberation Mono"/>
                <w:sz w:val="16"/>
              </w:rPr>
              <w:t xml:space="preserve">    \              |                 |                 /</w:t>
            </w:r>
            <w:r>
              <w:br/>
            </w:r>
            <w:r>
              <w:rPr>
                <w:rFonts w:ascii="Liberation Mono" w:hAnsi="Liberation Mono"/>
                <w:sz w:val="16"/>
              </w:rPr>
              <w:t xml:space="preserve">     \             v                 v                /</w:t>
            </w:r>
            <w:r>
              <w:br/>
            </w:r>
            <w:r>
              <w:rPr>
                <w:rFonts w:ascii="Liberation Mono" w:hAnsi="Liberation Mono"/>
                <w:sz w:val="16"/>
              </w:rPr>
              <w:t xml:space="preserve">      +-------&gt; Policy D ------&gt; Report W &lt;-----------+</w:t>
            </w:r>
            <w:r>
              <w:br/>
            </w:r>
            <w:r>
              <w:rPr>
                <w:rFonts w:ascii="Liberation Mono" w:hAnsi="Liberation Mono"/>
                <w:sz w:val="16"/>
              </w:rPr>
            </w:r>
            <w:r>
              <w:br/>
            </w:r>
            <w:r>
              <w:rPr>
                <w:rFonts w:ascii="Liberation Mono" w:hAnsi="Liberation Mono"/>
                <w:sz w:val="16"/>
              </w:rPr>
              <w:t>A witness graph connects intent, decision, effect, and evidence.</w:t>
            </w:r>
          </w:p>
        </w:tc>
      </w:tr>
    </w:tbl>
    <w:p>
      <w:pPr>
        <w:pStyle w:val="BodyTight"/>
      </w:pPr>
    </w:p>
    <w:p>
      <w:pPr>
        <w:pStyle w:val="BodyTight"/>
      </w:pPr>
      <w:r>
        <w:rPr>
          <w:rFonts w:ascii="Liberation Serif" w:hAnsi="Liberation Serif"/>
        </w:rPr>
        <w:t>The witness graph is useful because it generalizes across components. A Seal command has a manifest, a policy decision, a measurement effect, and a report. An installer action has config, plan, guarded writes, and a receipt. A future runtime handoff should have metadata, a capability gate, a decision, and a no-effect dry-run trace before any enforcement claim is allowed.</w:t>
      </w:r>
    </w:p>
    <w:p>
      <w:pPr>
        <w:pStyle w:val="Heading2"/>
      </w:pPr>
      <w:r>
        <w:rPr>
          <w:rFonts w:ascii="Liberation Serif" w:hAnsi="Liberation Serif" w:eastAsia="Liberation Serif"/>
        </w:rPr>
        <w:t>11.4 Verification receipts and authority handoff</w:t>
      </w:r>
    </w:p>
    <w:p>
      <w:pPr>
        <w:pStyle w:val="BodyTight"/>
      </w:pPr>
      <w:r>
        <w:rPr>
          <w:rFonts w:ascii="Liberation Serif" w:hAnsi="Liberation Serif" w:eastAsia="Liberation Serif"/>
        </w:rPr>
        <w:t>A verification receipt should be treated as a witness object in the graph, not as a permission slip. It records the relationship among artifact digest, signature profile, signer identity label, public-key identity label, verification policy profile, requested receipt mode, and verification state.</w:t>
      </w:r>
    </w:p>
    <w:p>
      <w:pPr>
        <w:pStyle w:val="BodyTight"/>
      </w:pPr>
      <w:r>
        <w:rPr>
          <w:rFonts w:ascii="Liberation Serif" w:hAnsi="Liberation Serif" w:eastAsia="Liberation Serif"/>
        </w:rPr>
        <w:t>The handoff rule is deliberately segmented: signature metadata is not verification; verification is not a receipt; a receipt is not a capability gate; a capability gate is not an effect decision; an effect decision is not runtime handoff; and runtime handoff is not host enforcement. Keeping those nouns separate prevents one implemented layer from borrowing the authority of a future layer.</w:t>
      </w:r>
    </w:p>
    <w:p>
      <w:pPr>
        <w:pStyle w:val="BodyTight"/>
      </w:pPr>
      <w:r>
        <w:rPr>
          <w:rFonts w:ascii="Liberation Serif" w:hAnsi="Liberation Serif" w:eastAsia="Liberation Serif"/>
        </w:rPr>
        <w:t>This also gives reviewers a concrete audit path. If a report claims authority, the witness graph should show a verified receipt, an allowed capability gate, an allowed effect decision, a performed runtime handoff, and explicit evidence for the effect. If any predecessor is missing or unsupported, public wording must fall back to metadata-only, report-only, or denied-by-default language.</w:t>
      </w:r>
    </w:p>
    <w:p>
      <w:pPr>
        <w:pStyle w:val="Heading2"/>
      </w:pPr>
      <w:r>
        <w:rPr>
          <w:rFonts w:ascii="Liberation Serif" w:hAnsi="Liberation Serif" w:eastAsia="Liberation Serif"/>
        </w:rPr>
        <w:t>11.5 Verified evidence is not permission</w:t>
      </w:r>
    </w:p>
    <w:p>
      <w:pPr>
        <w:pStyle w:val="BodyTight"/>
      </w:pPr>
      <w:r>
        <w:rPr>
          <w:rFonts w:ascii="Liberation Serif" w:hAnsi="Liberation Serif" w:eastAsia="Liberation Serif"/>
        </w:rPr>
        <w:t>The Ed25519 verify-only result changes the witness graph because a report can now contain a real local cryptographic verification result. That result should still be read narrowly: it says the supplied signature matched the supplied message and public key under the local provider boundary.</w:t>
      </w:r>
    </w:p>
    <w:p>
      <w:pPr>
        <w:pStyle w:val="BodyTight"/>
      </w:pPr>
      <w:r>
        <w:rPr>
          <w:rFonts w:ascii="Liberation Serif" w:hAnsi="Liberation Serif" w:eastAsia="Liberation Serif"/>
        </w:rPr>
        <w:t>It does not say the public key is trusted, current, non-revoked, authorized for a capability, or allowed to drive a host effect. Those are different witness edges. A future trust-store edge, revocation edge, capability-gate edge, effect-decision edge, and runtime-handoff edge would each need its own schema, implementation, tests, and public wording.</w:t>
      </w:r>
    </w:p>
    <w:p>
      <w:pPr>
        <w:pStyle w:val="BodyTight"/>
      </w:pPr>
      <w:r>
        <w:rPr>
          <w:rFonts w:ascii="Liberation Serif" w:hAnsi="Liberation Serif" w:eastAsia="Liberation Serif"/>
        </w:rPr>
        <w:t>Verified receipt promotion is therefore useful precisely because it gives the graph a named middle state. A promoted receipt is stronger than unverified metadata, but weaker than authority. Reviewers should treat authority_usable=0 and capability_gate_allowed=0 as part of the receipt meaning, not as incidental implementation details.</w:t>
      </w:r>
    </w:p>
    <w:p>
      <w:pPr>
        <w:pStyle w:val="Heading2"/>
      </w:pPr>
      <w:r>
        <w:rPr>
          <w:rFonts w:ascii="Liberation Serif" w:hAnsi="Liberation Serif" w:eastAsia="Liberation Serif"/>
        </w:rPr>
        <w:t>11.6 Metadata gates before effects</w:t>
      </w:r>
    </w:p>
    <w:p>
      <w:pPr>
        <w:pStyle w:val="BodyTight"/>
      </w:pPr>
      <w:r>
        <w:t>The verified capability gate adds another witness edge between a promoted receipt and an effect decision. Its allowed state is still metadata-only: gate_allowed=1 is not the same as an effect being allowed, performed, or handed to a runtime.</w:t>
      </w:r>
    </w:p>
    <w:p>
      <w:pPr>
        <w:pStyle w:val="BodyTight"/>
      </w:pPr>
      <w:r>
        <w:t>This gives reviewers a sharper audit rule. A record may show verified receipt evidence, an allowed metadata gate, an allowed metadata-only effect decision, eligible runtime-handoff metadata, report-ready metadata, envelope-ready metadata, and signature-request-ready metadata while still proving that no host read, host write, network access, tool execution, shell execution, capability enforcement, runtime handoff, signing, object sealing, or runtime authority occurred. That is not contradiction; it is the point of the ladder.</w:t>
      </w:r>
    </w:p>
    <w:p>
      <w:pPr>
        <w:pStyle w:val="Heading2"/>
      </w:pPr>
      <w:r>
        <w:t>11.7 Allowed, eligible, and ready are not performed</w:t>
      </w:r>
    </w:p>
    <w:p>
      <w:pPr>
        <w:pStyle w:val="BodyTight"/>
      </w:pPr>
      <w:r>
        <w:t>The new Seal ladder deliberately uses different verbs for different evidence states. gate_allowed=1 means a metadata gate accepted the request. effect_allowed=1 means a metadata-only effect classification accepted the request. handoff_eligible=1 means a future handoff candidate is describable. report_ready=1 means a report record can be emitted. envelope_ready=1 means a deterministic envelope record can be emitted. signature_request_ready=1 means a future signing path was requested as metadata.</w:t>
      </w:r>
    </w:p>
    <w:p>
      <w:pPr>
        <w:pStyle w:val="BodyTight"/>
      </w:pPr>
      <w:r>
        <w:t>None of those states means effect_performed=1, handoff_performed=1, signature_performed=1, verification_performed=1, private_key_handling=1, runtime_authority_granted=1, object sealing, or host/network behavior. Reviewers should read these flags as named non-effect checkpoints, not as disguised permission grants.</w:t>
      </w:r>
    </w:p>
    <w:p>
      <w:pPr>
        <w:pStyle w:val="Heading2"/>
      </w:pPr>
      <w:r>
        <w:t>11.8 Envelope and signature request do not sign</w:t>
      </w:r>
    </w:p>
    <w:p>
      <w:pPr>
        <w:pStyle w:val="BodyTight"/>
      </w:pPr>
      <w:r>
        <w:t>Envelope language is risky because ordinary readers may hear "sealed" as cryptographic or object-sealing behavior. In this edition it means only deterministic report-envelope metadata. Signature request language is equally narrow: Ed25519-development is a requested signature label, not a signing operation, private-key action, trust-store decision, or signature verification result.</w:t>
      </w:r>
    </w:p>
    <w:p>
      <w:pPr>
        <w:pStyle w:val="BodyTight"/>
      </w:pPr>
      <w:r>
        <w:t>A reviewer should reject any claim that jumps from envelope_ready=1 or signature_request_ready=1 to signing, object sealing, production cryptography, runtime handoff, host mutation, network behavior, or authority. Those transitions require separate contracts, implementations, and denial tests.</w:t>
      </w:r>
    </w:p>
    <w:p>
      <w:pPr>
        <w:pStyle w:val="Heading2"/>
      </w:pPr>
      <w:r>
        <w:t>11.9 Console receipt requests are not receipts</w:t>
      </w:r>
    </w:p>
    <w:p>
      <w:pPr>
        <w:pStyle w:val="BodyTight"/>
      </w:pPr>
      <w:r>
        <w:t>LC adds a second, component-specific example of the same rule. Its receipt-request, payload-schema, payload-artifact-draft, and signature-request-binding records describe what a future Seal-signed Console receipt would need to contain, but they do not materialize a payload, compute or record a payload hash, create a signature-request artifact, write a receipt, invoke a signer, or verify anything.</w:t>
      </w:r>
    </w:p>
    <w:p>
      <w:pPr>
        <w:pStyle w:val="BodyTight"/>
      </w:pPr>
      <w:r>
        <w:t>The Console witness edge is therefore a request edge, not an evidence edge. The current evidence is the presence of metadata-only contracts and the persistence of denial fields such as payload_artifact_present=0, signature_request_binding_allowed=0, seal_signature_request_ready=0, receipt_write_allowed=0, receipt_signed=0, file_write_allowed=0, and runtime_authority_granted=0.</w:t>
      </w:r>
    </w:p>
    <w:p>
      <w:pPr>
        <w:pStyle w:val="Heading1"/>
      </w:pPr>
      <w:r>
        <w:rPr>
          <w:rFonts w:ascii="Liberation Serif" w:hAnsi="Liberation Serif"/>
        </w:rPr>
        <w:t>Chapter 12. Threats, Non-Goals, and Honest Boundaries</w:t>
      </w:r>
    </w:p>
    <w:p>
      <w:pPr>
        <w:pStyle w:val="Lead"/>
      </w:pPr>
      <w:r>
        <w:rPr>
          <w:rFonts w:ascii="Liberation Serif" w:hAnsi="Liberation Serif"/>
        </w:rPr>
        <w:t>Honest boundaries are not marketing constraints; they are technical security controls against operator confusion.</w:t>
      </w:r>
    </w:p>
    <w:p>
      <w:pPr>
        <w:pStyle w:val="BodyTight"/>
      </w:pPr>
      <w:r>
        <w:rPr>
          <w:rFonts w:ascii="Liberation Serif" w:hAnsi="Liberation Serif"/>
        </w:rPr>
        <w:t>A security project that overclaims creates risk. Operators may deploy it where it does not belong. Reviewers may assume protections that do not exist. Developers may build future layers on false premises. Latticra should treat unsupported public claims as a security bug.</w:t>
      </w:r>
    </w:p>
    <w:p>
      <w:pPr>
        <w:pStyle w:val="Heading2"/>
      </w:pPr>
      <w:r>
        <w:rPr>
          <w:rFonts w:ascii="Liberation Serif" w:hAnsi="Liberation Serif"/>
        </w:rPr>
        <w:t>12.1 Threat model</w:t>
      </w:r>
    </w:p>
    <w:p>
      <w:pPr>
        <w:pStyle w:val="BodyTight"/>
      </w:pPr>
      <w:r>
        <w:t>The current threat model is defensive and evidence-led. It treats project claims, operator confusion, malformed inputs, unknown requests, unknown effects, failed prerequisites, and future-gated behavior as risks that must be represented before they can be safely relaxed.</w:t>
      </w:r>
    </w:p>
    <w:p>
      <w:pPr>
        <w:pStyle w:val="ListBullet"/>
      </w:pPr>
      <w:r>
        <w:t>Protected assets include source text integrity, parse results, diagnostic metadata, source spans, semantic validation results, LIR metadata, Lat parse metadata, report records, authority audit records, and project status claims.</w:t>
      </w:r>
    </w:p>
    <w:p>
      <w:pPr>
        <w:pStyle w:val="ListBullet"/>
      </w:pPr>
      <w:r>
        <w:t>Trust boundaries include parser input, semantic validation, LIR lowering, L-UI rendering, Nucleus task classification, runtime-boundary classification, authority validation, operator reports, and repository documentation.</w:t>
      </w:r>
    </w:p>
    <w:p>
      <w:pPr>
        <w:pStyle w:val="ListBullet"/>
      </w:pPr>
      <w:r>
        <w:t>External standards are used as source-awareness inputs only; they do not create NSA, CISA, FBI, certification, compliance, or protection claims.</w:t>
      </w:r>
    </w:p>
    <w:p>
      <w:pPr>
        <w:pStyle w:val="ListBullet"/>
      </w:pPr>
      <w:r>
        <w:t>The validation posture is guarded by scripts and records gaps rather than pretending they are closed by documentation alone.</w:t>
      </w:r>
    </w:p>
    <w:p>
      <w:pPr>
        <w:pStyle w:val="BodyTight"/>
      </w:pPr>
      <w:r>
        <w:t>This turns the threat model into a development constraint: if a boundary is named, the repo should eventually contain a contract, implementation plan, implementation record, guard, status record, and public wording check for that boundary. Until then, the handbook should label the gap clearly.</w:t>
      </w:r>
    </w:p>
    <w:tbl>
      <w:tblPr>
        <w:tblStyle w:val="TableGrid"/>
        <w:tblW w:type="auto" w:w="0"/>
        <w:jc w:val="center"/>
        <w:tblLook w:firstColumn="1" w:firstRow="1" w:lastColumn="0" w:lastRow="0" w:noHBand="0" w:noVBand="1" w:val="04A0"/>
      </w:tblPr>
      <w:tblGrid>
        <w:gridCol w:w="3331"/>
        <w:gridCol w:w="3331"/>
        <w:gridCol w:w="3331"/>
      </w:tblGrid>
      <w:tr>
        <w:tc>
          <w:tcPr>
            <w:tcW w:type="dxa" w:w="2448"/>
            <w:shd w:fill="E2E8F0"/>
            <w:tcMar>
              <w:top w:w="70" w:type="dxa"/>
              <w:start w:w="70" w:type="dxa"/>
              <w:bottom w:w="70" w:type="dxa"/>
              <w:end w:w="70" w:type="dxa"/>
            </w:tcMar>
            <w:vAlign w:val="center"/>
          </w:tcPr>
          <w:p>
            <w:r/>
            <w:r>
              <w:rPr>
                <w:rFonts w:ascii="Liberation Sans" w:hAnsi="Liberation Sans"/>
                <w:b/>
                <w:color w:val="0F172A"/>
                <w:sz w:val="17"/>
              </w:rPr>
              <w:t>Threat</w:t>
            </w:r>
          </w:p>
        </w:tc>
        <w:tc>
          <w:tcPr>
            <w:tcW w:type="dxa" w:w="3816"/>
            <w:shd w:fill="E2E8F0"/>
            <w:tcMar>
              <w:top w:w="70" w:type="dxa"/>
              <w:start w:w="70" w:type="dxa"/>
              <w:bottom w:w="70" w:type="dxa"/>
              <w:end w:w="70" w:type="dxa"/>
            </w:tcMar>
            <w:vAlign w:val="center"/>
          </w:tcPr>
          <w:p>
            <w:r/>
            <w:r>
              <w:rPr>
                <w:rFonts w:ascii="Liberation Sans" w:hAnsi="Liberation Sans"/>
                <w:b/>
                <w:color w:val="0F172A"/>
                <w:sz w:val="17"/>
              </w:rPr>
              <w:t>How Latticra responds now</w:t>
            </w:r>
          </w:p>
        </w:tc>
        <w:tc>
          <w:tcPr>
            <w:tcW w:type="dxa" w:w="3240"/>
            <w:shd w:fill="E2E8F0"/>
            <w:tcMar>
              <w:top w:w="70" w:type="dxa"/>
              <w:start w:w="70" w:type="dxa"/>
              <w:bottom w:w="70" w:type="dxa"/>
              <w:end w:w="70" w:type="dxa"/>
            </w:tcMar>
            <w:vAlign w:val="center"/>
          </w:tcPr>
          <w:p>
            <w:r/>
            <w:r>
              <w:rPr>
                <w:rFonts w:ascii="Liberation Sans" w:hAnsi="Liberation Sans"/>
                <w:b/>
                <w:color w:val="0F172A"/>
                <w:sz w:val="17"/>
              </w:rPr>
              <w:t>Future direction</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Project drift</w:t>
            </w:r>
          </w:p>
        </w:tc>
        <w:tc>
          <w:tcPr>
            <w:tcW w:type="dxa" w:w="3816"/>
            <w:tcMar>
              <w:top w:w="60" w:type="dxa"/>
              <w:start w:w="70" w:type="dxa"/>
              <w:bottom w:w="60" w:type="dxa"/>
              <w:end w:w="70" w:type="dxa"/>
            </w:tcMar>
            <w:vAlign w:val="top"/>
          </w:tcPr>
          <w:p>
            <w:pPr>
              <w:spacing w:after="0"/>
            </w:pPr>
            <w:r/>
            <w:r>
              <w:rPr>
                <w:rFonts w:ascii="Liberation Sans" w:hAnsi="Liberation Sans"/>
                <w:color w:val="0F172A"/>
                <w:sz w:val="16"/>
              </w:rPr>
              <w:t>Manifest/lock comparison and report evidence.</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Signed baselines and richer schemas.</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Operator confusion</w:t>
            </w:r>
          </w:p>
        </w:tc>
        <w:tc>
          <w:tcPr>
            <w:tcW w:type="dxa" w:w="3816"/>
            <w:tcMar>
              <w:top w:w="60" w:type="dxa"/>
              <w:start w:w="70" w:type="dxa"/>
              <w:bottom w:w="60" w:type="dxa"/>
              <w:end w:w="70" w:type="dxa"/>
            </w:tcMar>
            <w:vAlign w:val="top"/>
          </w:tcPr>
          <w:p>
            <w:pPr>
              <w:spacing w:after="0"/>
            </w:pPr>
            <w:r/>
            <w:r>
              <w:rPr>
                <w:rFonts w:ascii="Liberation Sans" w:hAnsi="Liberation Sans"/>
                <w:color w:val="0F172A"/>
                <w:sz w:val="16"/>
              </w:rPr>
              <w:t>Authority flags, receipts, explicit non-claims.</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Stronger UI gating and claim linting.</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Installer overreach</w:t>
            </w:r>
          </w:p>
        </w:tc>
        <w:tc>
          <w:tcPr>
            <w:tcW w:type="dxa" w:w="3816"/>
            <w:tcMar>
              <w:top w:w="60" w:type="dxa"/>
              <w:start w:w="70" w:type="dxa"/>
              <w:bottom w:w="60" w:type="dxa"/>
              <w:end w:w="70" w:type="dxa"/>
            </w:tcMar>
            <w:vAlign w:val="top"/>
          </w:tcPr>
          <w:p>
            <w:pPr>
              <w:spacing w:after="0"/>
            </w:pPr>
            <w:r/>
            <w:r>
              <w:rPr>
                <w:rFonts w:ascii="Liberation Sans" w:hAnsi="Liberation Sans"/>
                <w:color w:val="0F172A"/>
                <w:sz w:val="16"/>
              </w:rPr>
              <w:t>Guarded user-local prefix and root/network refusal.</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Formal installer policy and reproducible packages.</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Documentation overclaim</w:t>
            </w:r>
          </w:p>
        </w:tc>
        <w:tc>
          <w:tcPr>
            <w:tcW w:type="dxa" w:w="3816"/>
            <w:tcMar>
              <w:top w:w="60" w:type="dxa"/>
              <w:start w:w="70" w:type="dxa"/>
              <w:bottom w:w="60" w:type="dxa"/>
              <w:end w:w="70" w:type="dxa"/>
            </w:tcMar>
            <w:vAlign w:val="top"/>
          </w:tcPr>
          <w:p>
            <w:pPr>
              <w:spacing w:after="0"/>
            </w:pPr>
            <w:r/>
            <w:r>
              <w:rPr>
                <w:rFonts w:ascii="Liberation Sans" w:hAnsi="Liberation Sans"/>
                <w:color w:val="0F172A"/>
                <w:sz w:val="16"/>
              </w:rPr>
              <w:t>Boundary docs and claim ledger.</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CI that checks public wording.</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Runtime compromise</w:t>
            </w:r>
          </w:p>
        </w:tc>
        <w:tc>
          <w:tcPr>
            <w:tcW w:type="dxa" w:w="3816"/>
            <w:tcMar>
              <w:top w:w="60" w:type="dxa"/>
              <w:start w:w="70" w:type="dxa"/>
              <w:bottom w:w="60" w:type="dxa"/>
              <w:end w:w="70" w:type="dxa"/>
            </w:tcMar>
            <w:vAlign w:val="top"/>
          </w:tcPr>
          <w:p>
            <w:pPr>
              <w:spacing w:after="0"/>
            </w:pPr>
            <w:r/>
            <w:r>
              <w:rPr>
                <w:rFonts w:ascii="Liberation Sans" w:hAnsi="Liberation Sans"/>
                <w:color w:val="0F172A"/>
                <w:sz w:val="16"/>
              </w:rPr>
              <w:t>Not currently handled as enforcement.</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Future runtime-boundary handoff research.</w:t>
            </w:r>
          </w:p>
        </w:tc>
      </w:tr>
      <w:tr>
        <w:tc>
          <w:tcPr>
            <w:tcW w:type="dxa" w:w="2448"/>
            <w:tcMar>
              <w:top w:w="60" w:type="dxa"/>
              <w:start w:w="70" w:type="dxa"/>
              <w:bottom w:w="60" w:type="dxa"/>
              <w:end w:w="70" w:type="dxa"/>
            </w:tcMar>
            <w:vAlign w:val="top"/>
          </w:tcPr>
          <w:p>
            <w:pPr>
              <w:spacing w:after="0"/>
            </w:pPr>
            <w:r/>
            <w:r>
              <w:rPr>
                <w:rFonts w:ascii="Liberation Sans" w:hAnsi="Liberation Sans"/>
                <w:color w:val="0F172A"/>
                <w:sz w:val="16"/>
              </w:rPr>
              <w:t>Supply-chain substitution</w:t>
            </w:r>
          </w:p>
        </w:tc>
        <w:tc>
          <w:tcPr>
            <w:tcW w:type="dxa" w:w="3816"/>
            <w:tcMar>
              <w:top w:w="60" w:type="dxa"/>
              <w:start w:w="70" w:type="dxa"/>
              <w:bottom w:w="60" w:type="dxa"/>
              <w:end w:w="70" w:type="dxa"/>
            </w:tcMar>
            <w:vAlign w:val="top"/>
          </w:tcPr>
          <w:p>
            <w:pPr>
              <w:spacing w:after="0"/>
            </w:pPr>
            <w:r/>
            <w:r>
              <w:rPr>
                <w:rFonts w:ascii="Liberation Sans" w:hAnsi="Liberation Sans"/>
                <w:color w:val="0F172A"/>
                <w:sz w:val="16"/>
              </w:rPr>
              <w:t>Hash baselines and receipts begin the story.</w:t>
            </w:r>
          </w:p>
        </w:tc>
        <w:tc>
          <w:tcPr>
            <w:tcW w:type="dxa" w:w="3240"/>
            <w:tcMar>
              <w:top w:w="60" w:type="dxa"/>
              <w:start w:w="70" w:type="dxa"/>
              <w:bottom w:w="60" w:type="dxa"/>
              <w:end w:w="70" w:type="dxa"/>
            </w:tcMar>
            <w:vAlign w:val="top"/>
          </w:tcPr>
          <w:p>
            <w:pPr>
              <w:spacing w:after="0"/>
            </w:pPr>
            <w:r/>
            <w:r>
              <w:rPr>
                <w:rFonts w:ascii="Liberation Sans" w:hAnsi="Liberation Sans"/>
                <w:color w:val="0F172A"/>
                <w:sz w:val="16"/>
              </w:rPr>
              <w:t>Cryptographic signatures and trust roots.</w:t>
            </w:r>
          </w:p>
        </w:tc>
      </w:tr>
    </w:tbl>
    <w:p>
      <w:pPr>
        <w:pStyle w:val="BodyTight"/>
      </w:pPr>
    </w:p>
    <w:p>
      <w:pPr>
        <w:pStyle w:val="Heading2"/>
      </w:pPr>
      <w:r>
        <w:rPr>
          <w:rFonts w:ascii="Liberation Serif" w:hAnsi="Liberation Serif"/>
        </w:rPr>
        <w:t>12.2 Non-goals</w:t>
      </w:r>
    </w:p>
    <w:p>
      <w:pPr>
        <w:pStyle w:val="BodyTight"/>
      </w:pPr>
      <w:r>
        <w:rPr>
          <w:rFonts w:ascii="Liberation Serif" w:hAnsi="Liberation Serif"/>
        </w:rPr>
        <w:t>The current project should not be described as malware prevention, ransomware prevention, a sandbox, a kernel module, an SELinux policy system, a systemd enforcement system, a root installer, a network authority, a runtime enforcement authority, certified host protection, a Fedora-approved package, or an OS replacement. These are not stylistic cautions. They are correctness constraints.</w:t>
      </w:r>
    </w:p>
    <w:p>
      <w:pPr>
        <w:pStyle w:val="Heading2"/>
      </w:pPr>
      <w:r>
        <w:rPr>
          <w:rFonts w:ascii="Liberation Serif" w:hAnsi="Liberation Serif"/>
        </w:rPr>
        <w:t>12.3 The boundary rule</w:t>
      </w:r>
    </w:p>
    <w:p>
      <w:pPr>
        <w:pStyle w:val="CaptionSmall"/>
      </w:pPr>
      <w:r>
        <w:rPr>
          <w:rFonts w:ascii="Liberation Serif" w:hAnsi="Liberation Serif"/>
        </w:rPr>
        <w:t>Rule 12.1 - Boundary rule.</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No claim without evidence.</w:t>
            </w:r>
            <w:r>
              <w:br/>
            </w:r>
            <w:r>
              <w:rPr>
                <w:rFonts w:ascii="Liberation Mono" w:hAnsi="Liberation Mono"/>
                <w:sz w:val="16"/>
              </w:rPr>
              <w:t>No evidence without test.</w:t>
            </w:r>
            <w:r>
              <w:br/>
            </w:r>
            <w:r>
              <w:rPr>
                <w:rFonts w:ascii="Liberation Mono" w:hAnsi="Liberation Mono"/>
                <w:sz w:val="16"/>
              </w:rPr>
              <w:t>No test without documentation.</w:t>
            </w:r>
          </w:p>
        </w:tc>
      </w:tr>
    </w:tbl>
    <w:p>
      <w:pPr>
        <w:pStyle w:val="BodyTight"/>
      </w:pPr>
    </w:p>
    <w:p>
      <w:pPr>
        <w:pStyle w:val="BodyTight"/>
      </w:pPr>
      <w:r>
        <w:rPr>
          <w:rFonts w:ascii="Liberation Serif" w:hAnsi="Liberation Serif"/>
        </w:rPr>
        <w:t>This rule should remain visible in the repository, the Panel, and the handbook. It is the clearest expression of Latticra as a substrate for modern security: the system is allowed to grow, but every growth step must leave a trail.</w:t>
      </w:r>
    </w:p>
    <w:p>
      <w:pPr>
        <w:pStyle w:val="Heading2"/>
      </w:pPr>
      <w:r>
        <w:t>12.4 Runtime-boundary policy expansion</w:t>
      </w:r>
    </w:p>
    <w:p>
      <w:pPr>
        <w:pStyle w:val="BodyTight"/>
      </w:pPr>
      <w:r>
        <w:t>The runtime-boundary work is the clearest example of how Latticra should mature. After the threat-model refinement named runtime policy as the next evidence gap, the project expanded the policy vocabulary before adding behavior.</w:t>
      </w:r>
    </w:p>
    <w:p>
      <w:pPr>
        <w:pStyle w:val="ListBullet"/>
      </w:pPr>
      <w:r>
        <w:t>No-effect report, validation, and classification requests remain allowed only under matching report-only, validation-only, or classification-only modes with prerequisites satisfied.</w:t>
      </w:r>
    </w:p>
    <w:p>
      <w:pPr>
        <w:pStyle w:val="ListBullet"/>
      </w:pPr>
      <w:r>
        <w:t>Operational runtime, host interaction, network interaction, recovery/update/rollback, hardware/boot, unknown, and malformed request families remain denied or future-gated.</w:t>
      </w:r>
    </w:p>
    <w:p>
      <w:pPr>
        <w:pStyle w:val="ListBullet"/>
      </w:pPr>
      <w:r>
        <w:t>Authority prerequisites must include known request/effect identity, mode compatibility, authority summaries, no-effect flags, deterministic denial reasons, matrix cells, domain cells, and negative tests.</w:t>
      </w:r>
    </w:p>
    <w:p>
      <w:pPr>
        <w:pStyle w:val="ListBullet"/>
      </w:pPr>
      <w:r>
        <w:t>Lat pipeline prerequisites now include richer provenance: module/count/stage evidence, first-declaration evidence, comment evidence, and record-level first-clause evidence can travel with Runtime Boundary classifications while the request remains denied or no-effect.</w:t>
      </w:r>
    </w:p>
    <w:p>
      <w:pPr>
        <w:pStyle w:val="ListBullet"/>
      </w:pPr>
      <w:r>
        <w:t>Abuse-case fixtures now cover unknown requests, unknown effects, future-gated execution, operator-confirmation non-override, denial-reason reporting, authority failure, invalid LIR prerequisites, and blocked effects.</w:t>
      </w:r>
    </w:p>
    <w:p>
      <w:pPr>
        <w:pStyle w:val="BodyTight"/>
      </w:pPr>
      <w:r>
        <w:t>The important security property is not that Latticra can execute runtime behavior today. It cannot. The property is that future runtime authority is being forced through named gates, negative tests, report fields, and non-claim review before any promotion is possible.</w:t>
      </w:r>
    </w:p>
    <w:p>
      <w:r>
        <w:rPr>
          <w:rFonts w:ascii="Liberation Serif" w:hAnsi="Liberation Serif"/>
        </w:rPr>
        <w:br w:type="page"/>
      </w:r>
    </w:p>
    <w:p>
      <w:pPr>
        <w:pStyle w:val="Heading2"/>
      </w:pPr>
      <w:r>
        <w:t>12.5 AI-era authority and prompt-chain non-goals</w:t>
      </w:r>
    </w:p>
    <w:p>
      <w:pPr>
        <w:pStyle w:val="BodyTight"/>
      </w:pPr>
      <w:r>
        <w:t>AI-facing vocabulary can sound operational long before the system has authority to act. Latticra should therefore treat prompts, tokenizers, model registries, context windows, tool preflights, and task runners as authority-bearing surfaces even when every current implementation remains metadata-only.</w:t>
      </w:r>
    </w:p>
    <w:p>
      <w:pPr>
        <w:pStyle w:val="ListBullet"/>
      </w:pPr>
      <w:r>
        <w:t>A prompt contract is not prompt evaluation. It may describe source policy, inherited safety requirements, and promotion gates, but it must not imply prompt text receipt, prompt reading, prompt materialization, token creation, runtime invocation, inference, dialogue generation, or tool execution.</w:t>
      </w:r>
    </w:p>
    <w:p>
      <w:pPr>
        <w:pStyle w:val="ListBullet"/>
      </w:pPr>
      <w:r>
        <w:t>A tokenizer or model contract is not a loaded model. It may describe expected evidence, review fields, and future compatibility, but it must not open tokenizer files, read vocabularies, hash artifacts, attach tokenizers, create runtime sessions, or select model weights unless that behavior is separately implemented and guarded.</w:t>
      </w:r>
    </w:p>
    <w:p>
      <w:pPr>
        <w:pStyle w:val="ListBullet"/>
      </w:pPr>
      <w:r>
        <w:t>A task record is not task execution. Nucleus may classify, deny, preview, and report, but current records must not mutate state, call a shell, use the network, perform server interaction, recover a host, touch hardware, or enter runtime behavior.</w:t>
      </w:r>
    </w:p>
    <w:p>
      <w:pPr>
        <w:pStyle w:val="Heading2"/>
      </w:pPr>
      <w:r>
        <w:t>12.6 Host-platform and installer non-goals</w:t>
      </w:r>
    </w:p>
    <w:p>
      <w:pPr>
        <w:pStyle w:val="BodyTight"/>
      </w:pPr>
      <w:r>
        <w:t>Host-platform evidence is especially easy to overread. A dry-run writer, package validation lane, or readiness contract is not the same thing as a supported installer. The handbook should keep those meanings separate.</w:t>
      </w:r>
    </w:p>
    <w:p>
      <w:pPr>
        <w:pStyle w:val="ListBullet"/>
      </w:pPr>
      <w:r>
        <w:t>A macOS user-local contract may name $HOME/Applications, Application Support, wrappers, receipts, managed markers, and verification transcript lines, but it must not imply notarization, signing, launchd authority, Keychain access, TCC approval, Endpoint Security, System Extensions, Network Extensions, privileged helpers, or Apple platform approval.</w:t>
      </w:r>
    </w:p>
    <w:p>
      <w:pPr>
        <w:pStyle w:val="ListBullet"/>
      </w:pPr>
      <w:r>
        <w:t>A Fedora RPM lifecycle lane may mutate a temporary installroot or disposable VM under explicit gates, but it must not imply live developer-host mutation, sudo readiness, Fedora distribution acceptance, immutable Fedora support, service activation, kernel modules, SELinux policy, boot changes, or daily-driver eligibility.</w:t>
      </w:r>
    </w:p>
    <w:p>
      <w:pPr>
        <w:pStyle w:val="ListBullet"/>
      </w:pPr>
      <w:r>
        <w:t>Installer language must preserve the evidence level: dry-run, contract, installroot, disposable VM, manual release-candidate checklist, and production installer readiness are different claims and should never collapse into one public sentence.</w:t>
      </w:r>
    </w:p>
    <w:p>
      <w:pPr>
        <w:pStyle w:val="Heading1"/>
        <w:jc w:val="center"/>
      </w:pPr>
      <w:r>
        <w:rPr>
          <w:rFonts w:ascii="Liberation Serif" w:hAnsi="Liberation Serif"/>
          <w:sz w:val="40"/>
        </w:rPr>
        <w:t>Part IV - Implementation Workbook</w:t>
      </w:r>
    </w:p>
    <w:p>
      <w:pPr>
        <w:pStyle w:val="Lead"/>
        <w:jc w:val="center"/>
      </w:pPr>
      <w:r>
        <w:rPr>
          <w:rFonts w:ascii="Liberation Serif" w:hAnsi="Liberation Serif"/>
        </w:rPr>
        <w:t>The book now turns from architecture to practical engineering patterns that can guide future Latticra work.</w:t>
      </w:r>
    </w:p>
    <w:p>
      <w:r>
        <w:rPr>
          <w:rFonts w:ascii="Liberation Serif" w:hAnsi="Liberation Serif"/>
        </w:rPr>
        <w:br w:type="page"/>
      </w:r>
    </w:p>
    <w:p>
      <w:pPr>
        <w:pStyle w:val="Heading1"/>
      </w:pPr>
      <w:r>
        <w:rPr>
          <w:rFonts w:ascii="Liberation Serif" w:hAnsi="Liberation Serif"/>
        </w:rPr>
        <w:t>Chapter 13. Command Contracts</w:t>
      </w:r>
    </w:p>
    <w:p>
      <w:pPr>
        <w:pStyle w:val="Lead"/>
      </w:pPr>
      <w:r>
        <w:rPr>
          <w:rFonts w:ascii="Liberation Serif" w:hAnsi="Liberation Serif"/>
        </w:rPr>
        <w:t>Every command in Latticra should have a contract that a reviewer can understand without reading all of the source code.</w:t>
      </w:r>
    </w:p>
    <w:p>
      <w:pPr>
        <w:pStyle w:val="BodyTight"/>
      </w:pPr>
      <w:r>
        <w:rPr>
          <w:rFonts w:ascii="Liberation Serif" w:hAnsi="Liberation Serif"/>
        </w:rPr>
        <w:t>The Seal handbook already states the right documentation posture: every command should say what it reads, what it writes, what it refuses to do, whether it is report-only, whether it requires root, whether it uses the network, what counts as PASS, and what counts as FAIL. This chapter turns that into a reusable command contract template.</w:t>
      </w:r>
    </w:p>
    <w:p>
      <w:pPr>
        <w:pStyle w:val="CaptionSmall"/>
      </w:pPr>
      <w:r>
        <w:rPr>
          <w:rFonts w:ascii="Liberation Serif" w:hAnsi="Liberation Serif"/>
        </w:rPr>
        <w:t>Template 13.1 - Latticra command contract.</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 Command contract template</w:t>
            </w:r>
            <w:r>
              <w:br/>
            </w:r>
            <w:r>
              <w:rPr>
                <w:rFonts w:ascii="Liberation Mono" w:hAnsi="Liberation Mono"/>
                <w:sz w:val="16"/>
              </w:rPr>
              <w:t>name:</w:t>
            </w:r>
            <w:r>
              <w:br/>
            </w:r>
            <w:r>
              <w:rPr>
                <w:rFonts w:ascii="Liberation Mono" w:hAnsi="Liberation Mono"/>
                <w:sz w:val="16"/>
              </w:rPr>
              <w:t>summary:</w:t>
            </w:r>
            <w:r>
              <w:br/>
            </w:r>
            <w:r>
              <w:rPr>
                <w:rFonts w:ascii="Liberation Mono" w:hAnsi="Liberation Mono"/>
                <w:sz w:val="16"/>
              </w:rPr>
              <w:t>mode:</w:t>
            </w:r>
            <w:r>
              <w:br/>
            </w:r>
            <w:r>
              <w:rPr>
                <w:rFonts w:ascii="Liberation Mono" w:hAnsi="Liberation Mono"/>
                <w:sz w:val="16"/>
              </w:rPr>
              <w:t>reads:</w:t>
            </w:r>
            <w:r>
              <w:br/>
            </w:r>
            <w:r>
              <w:rPr>
                <w:rFonts w:ascii="Liberation Mono" w:hAnsi="Liberation Mono"/>
                <w:sz w:val="16"/>
              </w:rPr>
              <w:t>writes:</w:t>
            </w:r>
            <w:r>
              <w:br/>
            </w:r>
            <w:r>
              <w:rPr>
                <w:rFonts w:ascii="Liberation Mono" w:hAnsi="Liberation Mono"/>
                <w:sz w:val="16"/>
              </w:rPr>
              <w:t>refuses:</w:t>
            </w:r>
            <w:r>
              <w:br/>
            </w:r>
            <w:r>
              <w:rPr>
                <w:rFonts w:ascii="Liberation Mono" w:hAnsi="Liberation Mono"/>
                <w:sz w:val="16"/>
              </w:rPr>
              <w:t>authority:</w:t>
            </w:r>
            <w:r>
              <w:br/>
            </w:r>
            <w:r>
              <w:rPr>
                <w:rFonts w:ascii="Liberation Mono" w:hAnsi="Liberation Mono"/>
                <w:sz w:val="16"/>
              </w:rPr>
              <w:t xml:space="preserve">  root: false</w:t>
            </w:r>
            <w:r>
              <w:br/>
            </w:r>
            <w:r>
              <w:rPr>
                <w:rFonts w:ascii="Liberation Mono" w:hAnsi="Liberation Mono"/>
                <w:sz w:val="16"/>
              </w:rPr>
              <w:t xml:space="preserve">  network: false</w:t>
            </w:r>
            <w:r>
              <w:br/>
            </w:r>
            <w:r>
              <w:rPr>
                <w:rFonts w:ascii="Liberation Mono" w:hAnsi="Liberation Mono"/>
                <w:sz w:val="16"/>
              </w:rPr>
              <w:t xml:space="preserve">  runtime_enforcement: false</w:t>
            </w:r>
            <w:r>
              <w:br/>
            </w:r>
            <w:r>
              <w:rPr>
                <w:rFonts w:ascii="Liberation Mono" w:hAnsi="Liberation Mono"/>
                <w:sz w:val="16"/>
              </w:rPr>
              <w:t xml:space="preserve">  kernel_modification: false</w:t>
            </w:r>
            <w:r>
              <w:br/>
            </w:r>
            <w:r>
              <w:rPr>
                <w:rFonts w:ascii="Liberation Mono" w:hAnsi="Liberation Mono"/>
                <w:sz w:val="16"/>
              </w:rPr>
              <w:t xml:space="preserve">  systemd_modification: false</w:t>
            </w:r>
            <w:r>
              <w:br/>
            </w:r>
            <w:r>
              <w:rPr>
                <w:rFonts w:ascii="Liberation Mono" w:hAnsi="Liberation Mono"/>
                <w:sz w:val="16"/>
              </w:rPr>
              <w:t xml:space="preserve">  selinux_modification: false</w:t>
            </w:r>
            <w:r>
              <w:br/>
            </w:r>
            <w:r>
              <w:rPr>
                <w:rFonts w:ascii="Liberation Mono" w:hAnsi="Liberation Mono"/>
                <w:sz w:val="16"/>
              </w:rPr>
              <w:t>exit_codes:</w:t>
            </w:r>
            <w:r>
              <w:br/>
            </w:r>
            <w:r>
              <w:rPr>
                <w:rFonts w:ascii="Liberation Mono" w:hAnsi="Liberation Mono"/>
                <w:sz w:val="16"/>
              </w:rPr>
              <w:t xml:space="preserve">  0: pass</w:t>
            </w:r>
            <w:r>
              <w:br/>
            </w:r>
            <w:r>
              <w:rPr>
                <w:rFonts w:ascii="Liberation Mono" w:hAnsi="Liberation Mono"/>
                <w:sz w:val="16"/>
              </w:rPr>
              <w:t xml:space="preserve">  1: fail</w:t>
            </w:r>
            <w:r>
              <w:br/>
            </w:r>
            <w:r>
              <w:rPr>
                <w:rFonts w:ascii="Liberation Mono" w:hAnsi="Liberation Mono"/>
                <w:sz w:val="16"/>
              </w:rPr>
              <w:t xml:space="preserve">  2: policy_denial_or_bad_input</w:t>
            </w:r>
            <w:r>
              <w:br/>
            </w:r>
            <w:r>
              <w:rPr>
                <w:rFonts w:ascii="Liberation Mono" w:hAnsi="Liberation Mono"/>
                <w:sz w:val="16"/>
              </w:rPr>
              <w:t>pass_meaning:</w:t>
            </w:r>
            <w:r>
              <w:br/>
            </w:r>
            <w:r>
              <w:rPr>
                <w:rFonts w:ascii="Liberation Mono" w:hAnsi="Liberation Mono"/>
                <w:sz w:val="16"/>
              </w:rPr>
              <w:t>fail_meaning:</w:t>
            </w:r>
            <w:r>
              <w:br/>
            </w:r>
            <w:r>
              <w:rPr>
                <w:rFonts w:ascii="Liberation Mono" w:hAnsi="Liberation Mono"/>
                <w:sz w:val="16"/>
              </w:rPr>
              <w:t>denial_meaning:</w:t>
            </w:r>
            <w:r>
              <w:br/>
            </w:r>
            <w:r>
              <w:rPr>
                <w:rFonts w:ascii="Liberation Mono" w:hAnsi="Liberation Mono"/>
                <w:sz w:val="16"/>
              </w:rPr>
              <w:t>reports_or_receipts:</w:t>
            </w:r>
            <w:r>
              <w:br/>
            </w:r>
            <w:r>
              <w:rPr>
                <w:rFonts w:ascii="Liberation Mono" w:hAnsi="Liberation Mono"/>
                <w:sz w:val="16"/>
              </w:rPr>
              <w:t>examples:</w:t>
            </w:r>
          </w:p>
        </w:tc>
      </w:tr>
    </w:tbl>
    <w:p>
      <w:pPr>
        <w:pStyle w:val="BodyTight"/>
      </w:pPr>
    </w:p>
    <w:p>
      <w:pPr>
        <w:pStyle w:val="Heading2"/>
      </w:pPr>
      <w:r>
        <w:rPr>
          <w:rFonts w:ascii="Liberation Serif" w:hAnsi="Liberation Serif"/>
        </w:rPr>
        <w:t>13.1 Example: seal report</w:t>
      </w:r>
    </w:p>
    <w:tbl>
      <w:tblPr>
        <w:tblStyle w:val="TableGrid"/>
        <w:tblW w:type="auto" w:w="0"/>
        <w:jc w:val="center"/>
        <w:tblLook w:firstColumn="1" w:firstRow="1" w:lastColumn="0" w:lastRow="0" w:noHBand="0" w:noVBand="1" w:val="04A0"/>
      </w:tblPr>
      <w:tblGrid>
        <w:gridCol w:w="4997"/>
        <w:gridCol w:w="4997"/>
      </w:tblGrid>
      <w:tr>
        <w:tc>
          <w:tcPr>
            <w:tcW w:type="dxa" w:w="2016"/>
            <w:shd w:fill="E2E8F0"/>
            <w:tcMar>
              <w:top w:w="70" w:type="dxa"/>
              <w:start w:w="70" w:type="dxa"/>
              <w:bottom w:w="70" w:type="dxa"/>
              <w:end w:w="70" w:type="dxa"/>
            </w:tcMar>
            <w:vAlign w:val="center"/>
          </w:tcPr>
          <w:p>
            <w:r/>
            <w:r>
              <w:rPr>
                <w:rFonts w:ascii="Liberation Sans" w:hAnsi="Liberation Sans"/>
                <w:b/>
                <w:color w:val="0F172A"/>
                <w:sz w:val="17"/>
              </w:rPr>
              <w:t>Field</w:t>
            </w:r>
          </w:p>
        </w:tc>
        <w:tc>
          <w:tcPr>
            <w:tcW w:type="dxa" w:w="7488"/>
            <w:shd w:fill="E2E8F0"/>
            <w:tcMar>
              <w:top w:w="70" w:type="dxa"/>
              <w:start w:w="70" w:type="dxa"/>
              <w:bottom w:w="70" w:type="dxa"/>
              <w:end w:w="70" w:type="dxa"/>
            </w:tcMar>
            <w:vAlign w:val="center"/>
          </w:tcPr>
          <w:p>
            <w:r/>
            <w:r>
              <w:rPr>
                <w:rFonts w:ascii="Liberation Sans" w:hAnsi="Liberation Sans"/>
                <w:b/>
                <w:color w:val="0F172A"/>
                <w:sz w:val="17"/>
              </w:rPr>
              <w:t>Value</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name</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latticra-seal report</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mode</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report-only</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reads</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local manifest, lock material, selected local files, OS facts</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writes</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report output only, if configured</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refuses</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network authority, root authority, runtime enforcement authority</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PASS</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checked local evidence matched declared expectations</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FAIL</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missing/malformed evidence, mismatch, or safe completion failure</w:t>
            </w:r>
          </w:p>
        </w:tc>
      </w:tr>
    </w:tbl>
    <w:p>
      <w:pPr>
        <w:pStyle w:val="BodyTight"/>
      </w:pPr>
    </w:p>
    <w:p>
      <w:pPr>
        <w:pStyle w:val="Heading2"/>
      </w:pPr>
      <w:r>
        <w:rPr>
          <w:rFonts w:ascii="Liberation Serif" w:hAnsi="Liberation Serif"/>
        </w:rPr>
        <w:t>13.2 Example: installer dry-run</w:t>
      </w:r>
    </w:p>
    <w:tbl>
      <w:tblPr>
        <w:tblStyle w:val="TableGrid"/>
        <w:tblW w:type="auto" w:w="0"/>
        <w:jc w:val="center"/>
        <w:tblLook w:firstColumn="1" w:firstRow="1" w:lastColumn="0" w:lastRow="0" w:noHBand="0" w:noVBand="1" w:val="04A0"/>
      </w:tblPr>
      <w:tblGrid>
        <w:gridCol w:w="4997"/>
        <w:gridCol w:w="4997"/>
      </w:tblGrid>
      <w:tr>
        <w:tc>
          <w:tcPr>
            <w:tcW w:type="dxa" w:w="2016"/>
            <w:shd w:fill="E2E8F0"/>
            <w:tcMar>
              <w:top w:w="70" w:type="dxa"/>
              <w:start w:w="70" w:type="dxa"/>
              <w:bottom w:w="70" w:type="dxa"/>
              <w:end w:w="70" w:type="dxa"/>
            </w:tcMar>
            <w:vAlign w:val="center"/>
          </w:tcPr>
          <w:p>
            <w:r/>
            <w:r>
              <w:rPr>
                <w:rFonts w:ascii="Liberation Sans" w:hAnsi="Liberation Sans"/>
                <w:b/>
                <w:color w:val="0F172A"/>
                <w:sz w:val="17"/>
              </w:rPr>
              <w:t>Field</w:t>
            </w:r>
          </w:p>
        </w:tc>
        <w:tc>
          <w:tcPr>
            <w:tcW w:type="dxa" w:w="7488"/>
            <w:shd w:fill="E2E8F0"/>
            <w:tcMar>
              <w:top w:w="70" w:type="dxa"/>
              <w:start w:w="70" w:type="dxa"/>
              <w:bottom w:w="70" w:type="dxa"/>
              <w:end w:w="70" w:type="dxa"/>
            </w:tcMar>
            <w:vAlign w:val="center"/>
          </w:tcPr>
          <w:p>
            <w:r/>
            <w:r>
              <w:rPr>
                <w:rFonts w:ascii="Liberation Sans" w:hAnsi="Liberation Sans"/>
                <w:b/>
                <w:color w:val="0F172A"/>
                <w:sz w:val="17"/>
              </w:rPr>
              <w:t>Value</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name</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make -C installer dry-run</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mode</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dry-install metadata</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reads</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installer config, component manifest, local repo files</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writes</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plan and receipt artifacts</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refuses</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host mutation, root authority, network authority</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PASS</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plan/receipt generated and authority constraints preserved</w:t>
            </w:r>
          </w:p>
        </w:tc>
      </w:tr>
      <w:tr>
        <w:tc>
          <w:tcPr>
            <w:tcW w:type="dxa" w:w="2016"/>
            <w:tcMar>
              <w:top w:w="60" w:type="dxa"/>
              <w:start w:w="70" w:type="dxa"/>
              <w:bottom w:w="60" w:type="dxa"/>
              <w:end w:w="70" w:type="dxa"/>
            </w:tcMar>
            <w:vAlign w:val="top"/>
          </w:tcPr>
          <w:p>
            <w:pPr>
              <w:spacing w:after="0"/>
            </w:pPr>
            <w:r/>
            <w:r>
              <w:rPr>
                <w:rFonts w:ascii="Liberation Sans" w:hAnsi="Liberation Sans"/>
                <w:color w:val="0F172A"/>
                <w:sz w:val="16"/>
              </w:rPr>
              <w:t>FAIL</w:t>
            </w:r>
          </w:p>
        </w:tc>
        <w:tc>
          <w:tcPr>
            <w:tcW w:type="dxa" w:w="7488"/>
            <w:tcMar>
              <w:top w:w="60" w:type="dxa"/>
              <w:start w:w="70" w:type="dxa"/>
              <w:bottom w:w="60" w:type="dxa"/>
              <w:end w:w="70" w:type="dxa"/>
            </w:tcMar>
            <w:vAlign w:val="top"/>
          </w:tcPr>
          <w:p>
            <w:pPr>
              <w:spacing w:after="0"/>
            </w:pPr>
            <w:r/>
            <w:r>
              <w:rPr>
                <w:rFonts w:ascii="Liberation Sans" w:hAnsi="Liberation Sans"/>
                <w:color w:val="0F172A"/>
                <w:sz w:val="16"/>
              </w:rPr>
              <w:t>invalid config, missing scripts, unsafe prefix, or tooling error</w:t>
            </w:r>
          </w:p>
        </w:tc>
      </w:tr>
    </w:tbl>
    <w:p>
      <w:pPr>
        <w:pStyle w:val="BodyTight"/>
      </w:pPr>
    </w:p>
    <w:p>
      <w:pPr>
        <w:pStyle w:val="Heading2"/>
      </w:pPr>
      <w:r>
        <w:rPr>
          <w:rFonts w:ascii="Liberation Serif" w:hAnsi="Liberation Serif"/>
        </w:rPr>
        <w:t>13.3 Command review checklist</w:t>
      </w:r>
    </w:p>
    <w:p>
      <w:pPr>
        <w:pStyle w:val="ListBullet"/>
        <w:spacing w:after="40"/>
      </w:pPr>
      <w:r>
        <w:rPr>
          <w:rFonts w:ascii="Liberation Serif" w:hAnsi="Liberation Serif"/>
        </w:rPr>
        <w:t>Can the read set be named without vague phrases such as "system state"?</w:t>
      </w:r>
    </w:p>
    <w:p>
      <w:pPr>
        <w:pStyle w:val="ListBullet"/>
        <w:spacing w:after="40"/>
      </w:pPr>
      <w:r>
        <w:rPr>
          <w:rFonts w:ascii="Liberation Serif" w:hAnsi="Liberation Serif"/>
        </w:rPr>
        <w:t>Can the write set be inspected and removed?</w:t>
      </w:r>
    </w:p>
    <w:p>
      <w:pPr>
        <w:pStyle w:val="ListBullet"/>
        <w:spacing w:after="40"/>
      </w:pPr>
      <w:r>
        <w:rPr>
          <w:rFonts w:ascii="Liberation Serif" w:hAnsi="Liberation Serif"/>
        </w:rPr>
        <w:t>Can a policy denial be reproduced with a minimal test fixture?</w:t>
      </w:r>
    </w:p>
    <w:p>
      <w:pPr>
        <w:pStyle w:val="ListBullet"/>
        <w:spacing w:after="40"/>
      </w:pPr>
      <w:r>
        <w:rPr>
          <w:rFonts w:ascii="Liberation Serif" w:hAnsi="Liberation Serif"/>
        </w:rPr>
        <w:t>Does the command use the network, directly or indirectly?</w:t>
      </w:r>
    </w:p>
    <w:p>
      <w:pPr>
        <w:pStyle w:val="ListBullet"/>
        <w:spacing w:after="40"/>
      </w:pPr>
      <w:r>
        <w:rPr>
          <w:rFonts w:ascii="Liberation Serif" w:hAnsi="Liberation Serif"/>
        </w:rPr>
        <w:t>Would a reasonable user infer a stronger security claim than the command proves?</w:t>
      </w:r>
    </w:p>
    <w:p>
      <w:pPr>
        <w:pStyle w:val="ListBullet"/>
        <w:spacing w:after="40"/>
      </w:pPr>
      <w:r>
        <w:rPr>
          <w:rFonts w:ascii="Liberation Serif" w:hAnsi="Liberation Serif"/>
        </w:rPr>
        <w:t>Does the README wording match the command contract?</w:t>
      </w:r>
    </w:p>
    <w:p>
      <w:pPr>
        <w:pStyle w:val="Heading2"/>
      </w:pPr>
      <w:r>
        <w:t>13.4 Latticra Console registry contract</w:t>
      </w:r>
    </w:p>
    <w:p>
      <w:pPr>
        <w:pStyle w:val="BodyTight"/>
      </w:pPr>
      <w:r>
        <w:t>LC turns the command-contract idea into an explicit registry surface. A command is not just a string in a help menu; it is a metadata record that can be reviewed by Panel, Runtime Boundary, Seal, docs, and future tooling before any host-facing behavior exists.</w:t>
      </w:r>
    </w:p>
    <w:p>
      <w:pPr>
        <w:pStyle w:val="ListBullet"/>
      </w:pPr>
      <w:r>
        <w:t>Allowed Stage-0 commands are help, status, plan, save, dry-run, reset, uninstall, clear, LC inspection commands, and navigation placeholders, all under a metadata/report boundary.</w:t>
      </w:r>
    </w:p>
    <w:p>
      <w:pPr>
        <w:pStyle w:val="ListBullet"/>
      </w:pPr>
      <w:r>
        <w:t>The registry-backed help and manpage renderers expose command names, categories, effects, and capability labels from the same seed metadata used by installed wrappers.</w:t>
      </w:r>
    </w:p>
    <w:p>
      <w:pPr>
        <w:pStyle w:val="ListBullet"/>
      </w:pPr>
      <w:r>
        <w:t>Future-facing commands such as lc host and lc os are intentionally future-gated: they can describe planned authority boundaries, but they cannot launch host processes or claim OS-base behavior.</w:t>
      </w:r>
    </w:p>
    <w:p>
      <w:pPr>
        <w:pStyle w:val="ListBullet"/>
      </w:pPr>
      <w:r>
        <w:t>Contract commands such as lc host-adapter, lc receipt-request, lc receipt-payload, lc receipt-artifact, lc signature-request, lc os-contract, and lc vm-evidence expose promotion gates and denial fields as command output.</w:t>
      </w:r>
    </w:p>
    <w:p>
      <w:pPr>
        <w:pStyle w:val="ListBullet"/>
      </w:pPr>
      <w:r>
        <w:t>Their source and installed report surfaces must remain paired: latticra_console_report &lt;surface&gt; and latticra-lc &lt;surface&gt; should tell the same no-effect story for host, receipt, signature, OS, and VM planning metadata.</w:t>
      </w:r>
    </w:p>
    <w:p>
      <w:pPr>
        <w:pStyle w:val="ListBullet"/>
      </w:pPr>
      <w:r>
        <w:t>The review rule is simple: adding a command means adding its effect label, capability label, no-effect flag, future-gate status, report surface, and denial behavior before widening authority.</w:t>
      </w:r>
    </w:p>
    <w:p>
      <w:pPr>
        <w:pStyle w:val="Heading2"/>
      </w:pPr>
      <w:r>
        <w:t>13.5 Nucleus and Nadia command surfaces</w:t>
      </w:r>
    </w:p>
    <w:p>
      <w:pPr>
        <w:pStyle w:val="BodyTight"/>
      </w:pPr>
      <w:r>
        <w:t>The Nucleus and Nadia command surfaces should be read as report producers and contract generators. Their command names are intentionally useful to operators, but the commands remain bounded by the metadata they emit and by the authority they explicitly do not have.</w:t>
      </w:r>
    </w:p>
    <w:p>
      <w:pPr>
        <w:pStyle w:val="ListBullet"/>
      </w:pPr>
      <w:r>
        <w:t>Nucleus commands must expose request kind, effect label, policy result, denial reason, execution status, effect status, runtime status, no-effect policy, and representation gate. A successful report is not proof that a task ran; it is proof that the boundary was classified.</w:t>
      </w:r>
    </w:p>
    <w:p>
      <w:pPr>
        <w:pStyle w:val="ListBullet"/>
      </w:pPr>
      <w:r>
        <w:t>Nadia commands under the embedded Console and installed latticra-nadia wrapper must keep the current stage visible. Status, context-pack, runtime-profile, prompt-plan, tool-preflight, prompt, model, tokenizer, token-sequence, and context-window commands are metadata or contract surfaces until a later contract proves otherwise.</w:t>
      </w:r>
    </w:p>
    <w:p>
      <w:pPr>
        <w:pStyle w:val="ListBullet"/>
      </w:pPr>
      <w:r>
        <w:t>Command review should reject any help text, status output, README prose, or Panel label that implies autonomous coding, model inference, prompt evaluation, tokenizer attachment, runtime sessions, network access, source mutation, or tool execution ahead of evidence.</w:t>
      </w:r>
    </w:p>
    <w:p>
      <w:pPr>
        <w:pStyle w:val="Heading1"/>
      </w:pPr>
      <w:r>
        <w:rPr>
          <w:rFonts w:ascii="Liberation Serif" w:hAnsi="Liberation Serif"/>
        </w:rPr>
        <w:t>Chapter 14. Schemas and Formats</w:t>
      </w:r>
    </w:p>
    <w:p>
      <w:pPr>
        <w:pStyle w:val="Lead"/>
      </w:pPr>
      <w:r>
        <w:rPr>
          <w:rFonts w:ascii="Liberation Serif" w:hAnsi="Liberation Serif"/>
        </w:rPr>
        <w:t>Latticra should prefer small, stable schemas over prose-only state. Schemas are how future tools can consume today's evidence.</w:t>
      </w:r>
    </w:p>
    <w:p>
      <w:pPr>
        <w:pStyle w:val="BodyTight"/>
      </w:pPr>
      <w:r>
        <w:rPr>
          <w:rFonts w:ascii="Liberation Serif" w:hAnsi="Liberation Serif"/>
        </w:rPr>
        <w:t>The first schema family should cover manifests, reports, receipts, policy-denial reasons, and runtime-handoff metadata. The schemas should be simple enough for shell and Rust tooling, but strict enough to reject ambiguity. TOML, JSON, and line-oriented key/value formats can all be useful, provided the parser behavior is documented.</w:t>
      </w:r>
    </w:p>
    <w:p>
      <w:pPr>
        <w:pStyle w:val="Heading2"/>
      </w:pPr>
      <w:r>
        <w:rPr>
          <w:rFonts w:ascii="Liberation Serif" w:hAnsi="Liberation Serif"/>
        </w:rPr>
        <w:t>14.1 Manifest schema requirements</w:t>
      </w:r>
    </w:p>
    <w:p>
      <w:pPr>
        <w:pStyle w:val="ListBullet"/>
        <w:spacing w:after="40"/>
      </w:pPr>
      <w:r>
        <w:rPr>
          <w:rFonts w:ascii="Liberation Serif" w:hAnsi="Liberation Serif"/>
        </w:rPr>
        <w:t>Schema version and project identifier.</w:t>
      </w:r>
    </w:p>
    <w:p>
      <w:pPr>
        <w:pStyle w:val="ListBullet"/>
        <w:spacing w:after="40"/>
      </w:pPr>
      <w:r>
        <w:rPr>
          <w:rFonts w:ascii="Liberation Serif" w:hAnsi="Liberation Serif"/>
        </w:rPr>
        <w:t>Mode: report-only, verification, or future explicitly gated modes.</w:t>
      </w:r>
    </w:p>
    <w:p>
      <w:pPr>
        <w:pStyle w:val="ListBullet"/>
        <w:spacing w:after="40"/>
      </w:pPr>
      <w:r>
        <w:rPr>
          <w:rFonts w:ascii="Liberation Serif" w:hAnsi="Liberation Serif"/>
        </w:rPr>
        <w:t>Scope: include/exclude path lists with normalized semantics.</w:t>
      </w:r>
    </w:p>
    <w:p>
      <w:pPr>
        <w:pStyle w:val="ListBullet"/>
        <w:spacing w:after="40"/>
      </w:pPr>
      <w:r>
        <w:rPr>
          <w:rFonts w:ascii="Liberation Serif" w:hAnsi="Liberation Serif"/>
        </w:rPr>
        <w:t>Authority vector: explicit booleans for all sensitive authorities.</w:t>
      </w:r>
    </w:p>
    <w:p>
      <w:pPr>
        <w:pStyle w:val="ListBullet"/>
        <w:spacing w:after="40"/>
      </w:pPr>
      <w:r>
        <w:rPr>
          <w:rFonts w:ascii="Liberation Serif" w:hAnsi="Liberation Serif"/>
        </w:rPr>
        <w:t>Policy requirements: fail-closed behavior and denial classes.</w:t>
      </w:r>
    </w:p>
    <w:p>
      <w:pPr>
        <w:pStyle w:val="ListBullet"/>
        <w:spacing w:after="40"/>
      </w:pPr>
      <w:r>
        <w:rPr>
          <w:rFonts w:ascii="Liberation Serif" w:hAnsi="Liberation Serif"/>
        </w:rPr>
        <w:t>Report behavior: output path, format, and human-readable summary behavior.</w:t>
      </w:r>
    </w:p>
    <w:p>
      <w:pPr>
        <w:pStyle w:val="Heading2"/>
      </w:pPr>
      <w:r>
        <w:rPr>
          <w:rFonts w:ascii="Liberation Serif" w:hAnsi="Liberation Serif"/>
        </w:rPr>
        <w:t>14.2 Report schema requirements</w:t>
      </w:r>
    </w:p>
    <w:p>
      <w:pPr>
        <w:pStyle w:val="ListBullet"/>
        <w:spacing w:after="40"/>
      </w:pPr>
      <w:r>
        <w:rPr>
          <w:rFonts w:ascii="Liberation Serif" w:hAnsi="Liberation Serif"/>
        </w:rPr>
        <w:t>Timestamp, host facts, mode, prefix, command identity.</w:t>
      </w:r>
    </w:p>
    <w:p>
      <w:pPr>
        <w:pStyle w:val="ListBullet"/>
        <w:spacing w:after="40"/>
      </w:pPr>
      <w:r>
        <w:rPr>
          <w:rFonts w:ascii="Liberation Serif" w:hAnsi="Liberation Serif"/>
        </w:rPr>
        <w:t>Manifest and lock presence plus validation status.</w:t>
      </w:r>
    </w:p>
    <w:p>
      <w:pPr>
        <w:pStyle w:val="ListBullet"/>
        <w:spacing w:after="40"/>
      </w:pPr>
      <w:r>
        <w:rPr>
          <w:rFonts w:ascii="Liberation Serif" w:hAnsi="Liberation Serif"/>
        </w:rPr>
        <w:t>Hash counts: checked, changed, missing, new, ignored.</w:t>
      </w:r>
    </w:p>
    <w:p>
      <w:pPr>
        <w:pStyle w:val="ListBullet"/>
        <w:spacing w:after="40"/>
      </w:pPr>
      <w:r>
        <w:rPr>
          <w:rFonts w:ascii="Liberation Serif" w:hAnsi="Liberation Serif"/>
        </w:rPr>
        <w:t>Authority flags with zero values preserved, not omitted.</w:t>
      </w:r>
    </w:p>
    <w:p>
      <w:pPr>
        <w:pStyle w:val="ListBullet"/>
        <w:spacing w:after="40"/>
      </w:pPr>
      <w:r>
        <w:rPr>
          <w:rFonts w:ascii="Liberation Serif" w:hAnsi="Liberation Serif"/>
        </w:rPr>
        <w:t>Warnings and failures as structured arrays with stable codes.</w:t>
      </w:r>
    </w:p>
    <w:p>
      <w:pPr>
        <w:pStyle w:val="ListBullet"/>
        <w:spacing w:after="40"/>
      </w:pPr>
      <w:r>
        <w:rPr>
          <w:rFonts w:ascii="Liberation Serif" w:hAnsi="Liberation Serif"/>
        </w:rPr>
        <w:t>Final status and explicit PASS/FAIL/DENY meaning.</w:t>
      </w:r>
    </w:p>
    <w:p>
      <w:pPr>
        <w:pStyle w:val="Heading2"/>
      </w:pPr>
      <w:r>
        <w:rPr>
          <w:rFonts w:ascii="Liberation Serif" w:hAnsi="Liberation Serif"/>
        </w:rPr>
        <w:t>14.3 Denial code taxonomy</w:t>
      </w:r>
    </w:p>
    <w:tbl>
      <w:tblPr>
        <w:tblStyle w:val="TableGrid"/>
        <w:tblW w:type="auto" w:w="0"/>
        <w:jc w:val="center"/>
        <w:tblLook w:firstColumn="1" w:firstRow="1" w:lastColumn="0" w:lastRow="0" w:noHBand="0" w:noVBand="1" w:val="04A0"/>
      </w:tblPr>
      <w:tblGrid>
        <w:gridCol w:w="4997"/>
        <w:gridCol w:w="4997"/>
      </w:tblGrid>
      <w:tr>
        <w:tc>
          <w:tcPr>
            <w:tcW w:type="dxa" w:w="3240"/>
            <w:shd w:fill="E2E8F0"/>
            <w:tcMar>
              <w:top w:w="70" w:type="dxa"/>
              <w:start w:w="70" w:type="dxa"/>
              <w:bottom w:w="70" w:type="dxa"/>
              <w:end w:w="70" w:type="dxa"/>
            </w:tcMar>
            <w:vAlign w:val="center"/>
          </w:tcPr>
          <w:p>
            <w:r/>
            <w:r>
              <w:rPr>
                <w:rFonts w:ascii="Liberation Sans" w:hAnsi="Liberation Sans"/>
                <w:b/>
                <w:color w:val="0F172A"/>
                <w:sz w:val="17"/>
              </w:rPr>
              <w:t>Code</w:t>
            </w:r>
          </w:p>
        </w:tc>
        <w:tc>
          <w:tcPr>
            <w:tcW w:type="dxa" w:w="6192"/>
            <w:shd w:fill="E2E8F0"/>
            <w:tcMar>
              <w:top w:w="70" w:type="dxa"/>
              <w:start w:w="70" w:type="dxa"/>
              <w:bottom w:w="70" w:type="dxa"/>
              <w:end w:w="70" w:type="dxa"/>
            </w:tcMar>
            <w:vAlign w:val="center"/>
          </w:tcPr>
          <w:p>
            <w:r/>
            <w:r>
              <w:rPr>
                <w:rFonts w:ascii="Liberation Sans" w:hAnsi="Liberation Sans"/>
                <w:b/>
                <w:color w:val="0F172A"/>
                <w:sz w:val="17"/>
              </w:rPr>
              <w:t>Meaning</w:t>
            </w:r>
          </w:p>
        </w:tc>
      </w:tr>
      <w:tr>
        <w:tc>
          <w:tcPr>
            <w:tcW w:type="dxa" w:w="3240"/>
            <w:tcMar>
              <w:top w:w="60" w:type="dxa"/>
              <w:start w:w="70" w:type="dxa"/>
              <w:bottom w:w="60" w:type="dxa"/>
              <w:end w:w="70" w:type="dxa"/>
            </w:tcMar>
            <w:vAlign w:val="top"/>
          </w:tcPr>
          <w:p>
            <w:pPr>
              <w:spacing w:after="0"/>
            </w:pPr>
            <w:r/>
            <w:r>
              <w:rPr>
                <w:rFonts w:ascii="Liberation Sans" w:hAnsi="Liberation Sans"/>
                <w:color w:val="0F172A"/>
                <w:sz w:val="16"/>
              </w:rPr>
              <w:t>DENY_UNKNOWN_AUTHORITY</w:t>
            </w:r>
          </w:p>
        </w:tc>
        <w:tc>
          <w:tcPr>
            <w:tcW w:type="dxa" w:w="6192"/>
            <w:tcMar>
              <w:top w:w="60" w:type="dxa"/>
              <w:start w:w="70" w:type="dxa"/>
              <w:bottom w:w="60" w:type="dxa"/>
              <w:end w:w="70" w:type="dxa"/>
            </w:tcMar>
            <w:vAlign w:val="top"/>
          </w:tcPr>
          <w:p>
            <w:pPr>
              <w:spacing w:after="0"/>
            </w:pPr>
            <w:r/>
            <w:r>
              <w:rPr>
                <w:rFonts w:ascii="Liberation Sans" w:hAnsi="Liberation Sans"/>
                <w:color w:val="0F172A"/>
                <w:sz w:val="16"/>
              </w:rPr>
              <w:t>An unsupported authority key or mode was requested.</w:t>
            </w:r>
          </w:p>
        </w:tc>
      </w:tr>
      <w:tr>
        <w:tc>
          <w:tcPr>
            <w:tcW w:type="dxa" w:w="3240"/>
            <w:tcMar>
              <w:top w:w="60" w:type="dxa"/>
              <w:start w:w="70" w:type="dxa"/>
              <w:bottom w:w="60" w:type="dxa"/>
              <w:end w:w="70" w:type="dxa"/>
            </w:tcMar>
            <w:vAlign w:val="top"/>
          </w:tcPr>
          <w:p>
            <w:pPr>
              <w:spacing w:after="0"/>
            </w:pPr>
            <w:r/>
            <w:r>
              <w:rPr>
                <w:rFonts w:ascii="Liberation Sans" w:hAnsi="Liberation Sans"/>
                <w:color w:val="0F172A"/>
                <w:sz w:val="16"/>
              </w:rPr>
              <w:t>DENY_NETWORK_AUTHORITY</w:t>
            </w:r>
          </w:p>
        </w:tc>
        <w:tc>
          <w:tcPr>
            <w:tcW w:type="dxa" w:w="6192"/>
            <w:tcMar>
              <w:top w:w="60" w:type="dxa"/>
              <w:start w:w="70" w:type="dxa"/>
              <w:bottom w:w="60" w:type="dxa"/>
              <w:end w:w="70" w:type="dxa"/>
            </w:tcMar>
            <w:vAlign w:val="top"/>
          </w:tcPr>
          <w:p>
            <w:pPr>
              <w:spacing w:after="0"/>
            </w:pPr>
            <w:r/>
            <w:r>
              <w:rPr>
                <w:rFonts w:ascii="Liberation Sans" w:hAnsi="Liberation Sans"/>
                <w:color w:val="0F172A"/>
                <w:sz w:val="16"/>
              </w:rPr>
              <w:t>Network authority was requested in a lane that has none.</w:t>
            </w:r>
          </w:p>
        </w:tc>
      </w:tr>
      <w:tr>
        <w:tc>
          <w:tcPr>
            <w:tcW w:type="dxa" w:w="3240"/>
            <w:tcMar>
              <w:top w:w="60" w:type="dxa"/>
              <w:start w:w="70" w:type="dxa"/>
              <w:bottom w:w="60" w:type="dxa"/>
              <w:end w:w="70" w:type="dxa"/>
            </w:tcMar>
            <w:vAlign w:val="top"/>
          </w:tcPr>
          <w:p>
            <w:pPr>
              <w:spacing w:after="0"/>
            </w:pPr>
            <w:r/>
            <w:r>
              <w:rPr>
                <w:rFonts w:ascii="Liberation Sans" w:hAnsi="Liberation Sans"/>
                <w:color w:val="0F172A"/>
                <w:sz w:val="16"/>
              </w:rPr>
              <w:t>DENY_ROOT_AUTHORITY</w:t>
            </w:r>
          </w:p>
        </w:tc>
        <w:tc>
          <w:tcPr>
            <w:tcW w:type="dxa" w:w="6192"/>
            <w:tcMar>
              <w:top w:w="60" w:type="dxa"/>
              <w:start w:w="70" w:type="dxa"/>
              <w:bottom w:w="60" w:type="dxa"/>
              <w:end w:w="70" w:type="dxa"/>
            </w:tcMar>
            <w:vAlign w:val="top"/>
          </w:tcPr>
          <w:p>
            <w:pPr>
              <w:spacing w:after="0"/>
            </w:pPr>
            <w:r/>
            <w:r>
              <w:rPr>
                <w:rFonts w:ascii="Liberation Sans" w:hAnsi="Liberation Sans"/>
                <w:color w:val="0F172A"/>
                <w:sz w:val="16"/>
              </w:rPr>
              <w:t>Root authority was requested in a lane that has none.</w:t>
            </w:r>
          </w:p>
        </w:tc>
      </w:tr>
      <w:tr>
        <w:tc>
          <w:tcPr>
            <w:tcW w:type="dxa" w:w="3240"/>
            <w:tcMar>
              <w:top w:w="60" w:type="dxa"/>
              <w:start w:w="70" w:type="dxa"/>
              <w:bottom w:w="60" w:type="dxa"/>
              <w:end w:w="70" w:type="dxa"/>
            </w:tcMar>
            <w:vAlign w:val="top"/>
          </w:tcPr>
          <w:p>
            <w:pPr>
              <w:spacing w:after="0"/>
            </w:pPr>
            <w:r/>
            <w:r>
              <w:rPr>
                <w:rFonts w:ascii="Liberation Sans" w:hAnsi="Liberation Sans"/>
                <w:color w:val="0F172A"/>
                <w:sz w:val="16"/>
              </w:rPr>
              <w:t>DENY_RUNTIME_ENFORCEMENT</w:t>
            </w:r>
          </w:p>
        </w:tc>
        <w:tc>
          <w:tcPr>
            <w:tcW w:type="dxa" w:w="6192"/>
            <w:tcMar>
              <w:top w:w="60" w:type="dxa"/>
              <w:start w:w="70" w:type="dxa"/>
              <w:bottom w:w="60" w:type="dxa"/>
              <w:end w:w="70" w:type="dxa"/>
            </w:tcMar>
            <w:vAlign w:val="top"/>
          </w:tcPr>
          <w:p>
            <w:pPr>
              <w:spacing w:after="0"/>
            </w:pPr>
            <w:r/>
            <w:r>
              <w:rPr>
                <w:rFonts w:ascii="Liberation Sans" w:hAnsi="Liberation Sans"/>
                <w:color w:val="0F172A"/>
                <w:sz w:val="16"/>
              </w:rPr>
              <w:t>Runtime enforcement was requested or claimed without implementation.</w:t>
            </w:r>
          </w:p>
        </w:tc>
      </w:tr>
      <w:tr>
        <w:tc>
          <w:tcPr>
            <w:tcW w:type="dxa" w:w="3240"/>
            <w:tcMar>
              <w:top w:w="60" w:type="dxa"/>
              <w:start w:w="70" w:type="dxa"/>
              <w:bottom w:w="60" w:type="dxa"/>
              <w:end w:w="70" w:type="dxa"/>
            </w:tcMar>
            <w:vAlign w:val="top"/>
          </w:tcPr>
          <w:p>
            <w:pPr>
              <w:spacing w:after="0"/>
            </w:pPr>
            <w:r/>
            <w:r>
              <w:rPr>
                <w:rFonts w:ascii="Liberation Sans" w:hAnsi="Liberation Sans"/>
                <w:color w:val="0F172A"/>
                <w:sz w:val="16"/>
              </w:rPr>
              <w:t>DENY_SCOPE_ESCAPE</w:t>
            </w:r>
          </w:p>
        </w:tc>
        <w:tc>
          <w:tcPr>
            <w:tcW w:type="dxa" w:w="6192"/>
            <w:tcMar>
              <w:top w:w="60" w:type="dxa"/>
              <w:start w:w="70" w:type="dxa"/>
              <w:bottom w:w="60" w:type="dxa"/>
              <w:end w:w="70" w:type="dxa"/>
            </w:tcMar>
            <w:vAlign w:val="top"/>
          </w:tcPr>
          <w:p>
            <w:pPr>
              <w:spacing w:after="0"/>
            </w:pPr>
            <w:r/>
            <w:r>
              <w:rPr>
                <w:rFonts w:ascii="Liberation Sans" w:hAnsi="Liberation Sans"/>
                <w:color w:val="0F172A"/>
                <w:sz w:val="16"/>
              </w:rPr>
              <w:t>A path resolves outside declared scope or guarded prefix.</w:t>
            </w:r>
          </w:p>
        </w:tc>
      </w:tr>
      <w:tr>
        <w:tc>
          <w:tcPr>
            <w:tcW w:type="dxa" w:w="3240"/>
            <w:tcMar>
              <w:top w:w="60" w:type="dxa"/>
              <w:start w:w="70" w:type="dxa"/>
              <w:bottom w:w="60" w:type="dxa"/>
              <w:end w:w="70" w:type="dxa"/>
            </w:tcMar>
            <w:vAlign w:val="top"/>
          </w:tcPr>
          <w:p>
            <w:pPr>
              <w:spacing w:after="0"/>
            </w:pPr>
            <w:r/>
            <w:r>
              <w:rPr>
                <w:rFonts w:ascii="Liberation Sans" w:hAnsi="Liberation Sans"/>
                <w:color w:val="0F172A"/>
                <w:sz w:val="16"/>
              </w:rPr>
              <w:t>DENY_MALFORMED_MANIFEST</w:t>
            </w:r>
          </w:p>
        </w:tc>
        <w:tc>
          <w:tcPr>
            <w:tcW w:type="dxa" w:w="6192"/>
            <w:tcMar>
              <w:top w:w="60" w:type="dxa"/>
              <w:start w:w="70" w:type="dxa"/>
              <w:bottom w:w="60" w:type="dxa"/>
              <w:end w:w="70" w:type="dxa"/>
            </w:tcMar>
            <w:vAlign w:val="top"/>
          </w:tcPr>
          <w:p>
            <w:pPr>
              <w:spacing w:after="0"/>
            </w:pPr>
            <w:r/>
            <w:r>
              <w:rPr>
                <w:rFonts w:ascii="Liberation Sans" w:hAnsi="Liberation Sans"/>
                <w:color w:val="0F172A"/>
                <w:sz w:val="16"/>
              </w:rPr>
              <w:t>Manifest could not be parsed or lacks required fields.</w:t>
            </w:r>
          </w:p>
        </w:tc>
      </w:tr>
      <w:tr>
        <w:tc>
          <w:tcPr>
            <w:tcW w:type="dxa" w:w="3240"/>
            <w:tcMar>
              <w:top w:w="60" w:type="dxa"/>
              <w:start w:w="70" w:type="dxa"/>
              <w:bottom w:w="60" w:type="dxa"/>
              <w:end w:w="70" w:type="dxa"/>
            </w:tcMar>
            <w:vAlign w:val="top"/>
          </w:tcPr>
          <w:p>
            <w:pPr>
              <w:spacing w:after="0"/>
            </w:pPr>
            <w:r/>
            <w:r>
              <w:rPr>
                <w:rFonts w:ascii="Liberation Sans" w:hAnsi="Liberation Sans"/>
                <w:color w:val="0F172A"/>
                <w:sz w:val="16"/>
              </w:rPr>
              <w:t>DENY_UNSUPPORTED_CRYPTO_CLAIM</w:t>
            </w:r>
          </w:p>
        </w:tc>
        <w:tc>
          <w:tcPr>
            <w:tcW w:type="dxa" w:w="6192"/>
            <w:tcMar>
              <w:top w:w="60" w:type="dxa"/>
              <w:start w:w="70" w:type="dxa"/>
              <w:bottom w:w="60" w:type="dxa"/>
              <w:end w:w="70" w:type="dxa"/>
            </w:tcMar>
            <w:vAlign w:val="top"/>
          </w:tcPr>
          <w:p>
            <w:pPr>
              <w:spacing w:after="0"/>
            </w:pPr>
            <w:r/>
            <w:r>
              <w:rPr>
                <w:rFonts w:ascii="Liberation Sans" w:hAnsi="Liberation Sans"/>
                <w:color w:val="0F172A"/>
                <w:sz w:val="16"/>
              </w:rPr>
              <w:t>A signing/encryption claim is not backed by implemented verification.</w:t>
            </w:r>
          </w:p>
        </w:tc>
      </w:tr>
    </w:tbl>
    <w:p>
      <w:pPr>
        <w:pStyle w:val="BodyTight"/>
      </w:pPr>
    </w:p>
    <w:p>
      <w:pPr>
        <w:pStyle w:val="Heading2"/>
      </w:pPr>
      <w:r>
        <w:rPr>
          <w:rFonts w:ascii="Liberation Serif" w:hAnsi="Liberation Serif"/>
        </w:rPr>
        <w:t>14.4 Runtime-handoff metadata</w:t>
      </w:r>
    </w:p>
    <w:p>
      <w:pPr>
        <w:pStyle w:val="BodyTight"/>
      </w:pPr>
      <w:r>
        <w:rPr>
          <w:rFonts w:ascii="Liberation Serif" w:hAnsi="Liberation Serif"/>
        </w:rPr>
        <w:t>Future runtime-boundary handoff metadata should be designed before enforcement exists. The metadata can describe decisions in no-effect dry-run form: what would be denied, why, under which capability gate, with which evidence. The handoff schema must not imply that a runtime enforcement path exists until it does.</w:t>
      </w:r>
    </w:p>
    <w:p>
      <w:pPr>
        <w:pStyle w:val="CaptionSmall"/>
      </w:pPr>
      <w:r>
        <w:rPr>
          <w:rFonts w:ascii="Liberation Serif" w:hAnsi="Liberation Serif"/>
        </w:rPr>
        <w:t>Definition 14.1 - Future no-effect runtime handoff sketch.</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RuntimeHandoffDryRun = {</w:t>
            </w:r>
            <w:r>
              <w:br/>
            </w:r>
            <w:r>
              <w:rPr>
                <w:rFonts w:ascii="Liberation Mono" w:hAnsi="Liberation Mono"/>
                <w:sz w:val="16"/>
              </w:rPr>
              <w:t xml:space="preserve">    schema_version: 1,</w:t>
            </w:r>
            <w:r>
              <w:br/>
            </w:r>
            <w:r>
              <w:rPr>
                <w:rFonts w:ascii="Liberation Mono" w:hAnsi="Liberation Mono"/>
                <w:sz w:val="16"/>
              </w:rPr>
              <w:t xml:space="preserve">    mode: "no-effect-dry-run",</w:t>
            </w:r>
            <w:r>
              <w:br/>
            </w:r>
            <w:r>
              <w:rPr>
                <w:rFonts w:ascii="Liberation Mono" w:hAnsi="Liberation Mono"/>
                <w:sz w:val="16"/>
              </w:rPr>
              <w:t xml:space="preserve">    capability_gate: "future-runtime-boundary",</w:t>
            </w:r>
            <w:r>
              <w:br/>
            </w:r>
            <w:r>
              <w:rPr>
                <w:rFonts w:ascii="Liberation Mono" w:hAnsi="Liberation Mono"/>
                <w:sz w:val="16"/>
              </w:rPr>
              <w:t xml:space="preserve">    input_report: "path-or-digest",</w:t>
            </w:r>
            <w:r>
              <w:br/>
            </w:r>
            <w:r>
              <w:rPr>
                <w:rFonts w:ascii="Liberation Mono" w:hAnsi="Liberation Mono"/>
                <w:sz w:val="16"/>
              </w:rPr>
              <w:t xml:space="preserve">    decision: "would-deny" | "would-allow" | "inconclusive",</w:t>
            </w:r>
            <w:r>
              <w:br/>
            </w:r>
            <w:r>
              <w:rPr>
                <w:rFonts w:ascii="Liberation Mono" w:hAnsi="Liberation Mono"/>
                <w:sz w:val="16"/>
              </w:rPr>
              <w:t xml:space="preserve">    reason_codes: [String],</w:t>
            </w:r>
            <w:r>
              <w:br/>
            </w:r>
            <w:r>
              <w:rPr>
                <w:rFonts w:ascii="Liberation Mono" w:hAnsi="Liberation Mono"/>
                <w:sz w:val="16"/>
              </w:rPr>
              <w:t xml:space="preserve">    enforcement_performed: false</w:t>
            </w:r>
            <w:r>
              <w:br/>
            </w:r>
            <w:r>
              <w:rPr>
                <w:rFonts w:ascii="Liberation Mono" w:hAnsi="Liberation Mono"/>
                <w:sz w:val="16"/>
              </w:rPr>
              <w:t>}</w:t>
            </w:r>
          </w:p>
        </w:tc>
      </w:tr>
    </w:tbl>
    <w:p>
      <w:pPr>
        <w:pStyle w:val="BodyTight"/>
      </w:pPr>
    </w:p>
    <w:p>
      <w:pPr>
        <w:pStyle w:val="Heading2"/>
      </w:pPr>
      <w:r>
        <w:t>14.5 Prompt and tokenizer metadata ladder</w:t>
      </w:r>
    </w:p>
    <w:p>
      <w:pPr>
        <w:pStyle w:val="BodyTight"/>
      </w:pPr>
      <w:r>
        <w:t>Nadia gives the handbook a concrete example of schema-first AI design. Each stage records the next boundary without crossing it, so the ladder is useful even before inference exists.</w:t>
      </w:r>
    </w:p>
    <w:p>
      <w:pPr>
        <w:pStyle w:val="ListBullet"/>
      </w:pPr>
      <w:r>
        <w:t>Foundation and local-context records bind component identity, local install paths, context-pack generation, runtime profile metadata, workbench plans, mode labels, and productivity-ledger vocabulary to local, operator-invoked evidence.</w:t>
      </w:r>
    </w:p>
    <w:p>
      <w:pPr>
        <w:pStyle w:val="ListBullet"/>
      </w:pPr>
      <w:r>
        <w:t>Prompt and model records bind prompt-evaluation contracts, local model registry contracts, inference-readiness contracts, runtime-invocation contracts, model-load contracts, prompt receipts, prompt materialization, and prompt-evaluation handoff to denied runtime authority.</w:t>
      </w:r>
    </w:p>
    <w:p>
      <w:pPr>
        <w:pStyle w:val="ListBullet"/>
      </w:pPr>
      <w:r>
        <w:t>Tokenizer records bind tokenizer specification, manifest, artifact inventory, measurement, verification, binding, and runtime-attachment contracts without opening tokenizer files, loading vocabularies, attaching tokenizers, or creating runtime sessions.</w:t>
      </w:r>
    </w:p>
    <w:p>
      <w:pPr>
        <w:pStyle w:val="ListBullet"/>
      </w:pPr>
      <w:r>
        <w:t>Prompt-tokenization and prompt-token-sequence records reserve the future shape of token count, token order, offsets, masks, and position IDs; Stage-27 context-window records then reserve future context-window layout, token budget, truncation, and prompt-evaluation-input requirements while explicitly recording that those values are not produced today.</w:t>
      </w:r>
    </w:p>
    <w:p>
      <w:pPr>
        <w:pStyle w:val="Heading2"/>
      </w:pPr>
      <w:r>
        <w:rPr>
          <w:rFonts w:ascii="Liberation Serif" w:hAnsi="Liberation Serif" w:eastAsia="Liberation Serif"/>
        </w:rPr>
        <w:t>14.6 Seal trust metadata schemas</w:t>
      </w:r>
    </w:p>
    <w:p>
      <w:pPr>
        <w:pStyle w:val="BodyTight"/>
      </w:pPr>
      <w:r>
        <w:rPr>
          <w:rFonts w:ascii="Liberation Serif" w:hAnsi="Liberation Serif" w:eastAsia="Liberation Serif"/>
        </w:rPr>
        <w:t>The trust ladder should use small, stable key/value schemas before it grows richer object formats. The current schema vocabulary includes signed_request_profile, freshness_profile, receipt_profile, verify_profile, ed25519_verify_profile, verification_policy_profile, backend_profile, gate_profile, decision_profile, signature_profile, manifest_profile, artifact_digest_algorithm, message_digest_algorithm, signer_identity_label, public_key_identity_label, trust_source, requested_capability, requested_effect, requested_scope, and status.</w:t>
      </w:r>
    </w:p>
    <w:p>
      <w:pPr>
        <w:pStyle w:val="BodyTight"/>
      </w:pPr>
      <w:r>
        <w:rPr>
          <w:rFonts w:ascii="Liberation Serif" w:hAnsi="Liberation Serif" w:eastAsia="Liberation Serif"/>
        </w:rPr>
        <w:t>State fields should remain explicit even when the value is a denial. The important fields include signed_request_supported, signature_present, signature_valid, request_freshness_supported, replay_protection_supported, verification_state, receipt_state, crypto_verify_state, verified, invalid, authority_usable, capability_gate_allowed, gate_state, gate_allowed, decision_state, effect_allowed, effect_performed, and runtime_authority_granted.</w:t>
      </w:r>
    </w:p>
    <w:p>
      <w:pPr>
        <w:pStyle w:val="BodyTight"/>
      </w:pPr>
      <w:r>
        <w:rPr>
          <w:rFonts w:ascii="Liberation Serif" w:hAnsi="Liberation Serif" w:eastAsia="Liberation Serif"/>
        </w:rPr>
        <w:t>Effect fields must not disappear when false. Report consumers should see host_read_performed=0, host_write_performed=0, network_performed=0, cryptographic_verification_performed=0, verification_performed=0, signature_performed=0, signer_invoked=0, trust_store_loaded=0, revocation_lookup_performed=0, key_material_loaded=0, private_key_handling=0, capability_enforcement_performed=0, and runtime_handoff_performed=0 where the corresponding layer is in scope.</w:t>
      </w:r>
    </w:p>
    <w:p>
      <w:pPr>
        <w:pStyle w:val="BodyTight"/>
      </w:pPr>
      <w:r>
        <w:rPr>
          <w:rFonts w:ascii="Liberation Serif" w:hAnsi="Liberation Serif" w:eastAsia="Liberation Serif"/>
        </w:rPr>
        <w:t>The schema rule is simple: a future field may reserve vocabulary, but a current field must not imply capability. If the project adds trust stores, revocation checks, signed envelopes, capability authorization, effect execution, or production cryptography claims later, each transition should change only after a contract, implementation, invariant tests, status record, public wording update, and handbook update are in place.</w:t>
      </w:r>
    </w:p>
    <w:p>
      <w:pPr>
        <w:pStyle w:val="Heading2"/>
      </w:pPr>
      <w:r>
        <w:rPr>
          <w:rFonts w:ascii="Liberation Serif" w:hAnsi="Liberation Serif" w:eastAsia="Liberation Serif"/>
        </w:rPr>
        <w:t>14.7 Verify-only result and promoted receipt schemas</w:t>
      </w:r>
    </w:p>
    <w:p>
      <w:pPr>
        <w:pStyle w:val="BodyTight"/>
      </w:pPr>
      <w:r>
        <w:rPr>
          <w:rFonts w:ascii="Liberation Serif" w:hAnsi="Liberation Serif" w:eastAsia="Liberation Serif"/>
        </w:rPr>
        <w:t>The Ed25519 verify-only result schema is the first place where cryptographic verification fields can legitimately become one. Its key fields are ed25519_verify_profile, backend_profile, verification_policy_profile, message_label, message_size_bytes, message_digest_algorithm, message_digest_hex, public_key_identity_label, public_key_size_bytes, signature_algorithm, signature_size_bytes, trust_source, crypto_verify_state, cryptographic_verification_supported, cryptographic_verification_performed, verified, invalid, authority_usable, capability_gate_allowed, runtime_authority_granted, and status.</w:t>
      </w:r>
    </w:p>
    <w:p>
      <w:pPr>
        <w:pStyle w:val="BodyTight"/>
      </w:pPr>
      <w:r>
        <w:rPr>
          <w:rFonts w:ascii="Liberation Serif" w:hAnsi="Liberation Serif" w:eastAsia="Liberation Serif"/>
        </w:rPr>
        <w:t>The promoted receipt schema copies the evidence-bearing fields into receipt form and changes the receipt state, not the authority state. Its important fields include receipt_profile, verify_profile, backend_profile, verification_policy_profile, message_label, message_digest_algorithm, message_digest_hex, public_key_identity_label, signature_algorithm, trust_source, verification_state=verified, receipt_state=verified, verified=1, authority_usable=0, capability_gate_allowed=0, runtime_authority_granted=0, mode=verified-receipt-authority-neutral, and status=verified-receipt-metadata.</w:t>
      </w:r>
    </w:p>
    <w:p>
      <w:pPr>
        <w:pStyle w:val="BodyTight"/>
      </w:pPr>
      <w:r>
        <w:rPr>
          <w:rFonts w:ascii="Liberation Serif" w:hAnsi="Liberation Serif" w:eastAsia="Liberation Serif"/>
        </w:rPr>
        <w:t>Schema consumers should distinguish mathematical verification from trust. The current trust_source=local-test-vector label is evidence about the fixture boundary, not a trust root, revocation service, certificate chain, or production identity system.</w:t>
      </w:r>
    </w:p>
    <w:p>
      <w:pPr>
        <w:pStyle w:val="Heading2"/>
      </w:pPr>
      <w:r>
        <w:rPr>
          <w:rFonts w:ascii="Liberation Serif" w:hAnsi="Liberation Serif" w:eastAsia="Liberation Serif"/>
        </w:rPr>
        <w:t>14.8 Verified capability gate schema</w:t>
      </w:r>
    </w:p>
    <w:p>
      <w:pPr>
        <w:pStyle w:val="BodyTight"/>
      </w:pPr>
      <w:r>
        <w:rPr>
          <w:rFonts w:ascii="Liberation Serif" w:hAnsi="Liberation Serif" w:eastAsia="Liberation Serif"/>
        </w:rPr>
        <w:t>The verified capability gate schema binds a verified receipt to a requested metadata capability without crossing into enforcement. Core fields include gate_profile, receipt_profile, verify_profile, message_digest_algorithm, message_digest_hex, public_key_identity_label, receipt_state, verification_state, requested_capability, requested_effect, requested_scope, verified, authority_usable, receipt_capability_gate_allowed, gate_allowed, gate_state, runtime_authority_granted, effect_performed, host_read_performed, host_write_performed, network_performed, and status.</w:t>
      </w:r>
    </w:p>
    <w:p>
      <w:pPr>
        <w:pStyle w:val="BodyTight"/>
      </w:pPr>
      <w:r>
        <w:rPr>
          <w:rFonts w:ascii="Liberation Serif" w:hAnsi="Liberation Serif" w:eastAsia="Liberation Serif"/>
        </w:rPr>
        <w:t>The important distinction is that gate_allowed=1 and gate_state=allowed-metadata-only may coexist with authority_usable=0, receipt_capability_gate_allowed=0, runtime_authority_granted=0, and effect_performed=0. Schema consumers must not collapse metadata permission into runtime permission.</w:t>
      </w:r>
    </w:p>
    <w:p>
      <w:pPr>
        <w:pStyle w:val="Heading2"/>
      </w:pPr>
      <w:r>
        <w:t>14.9 Verified effect, handoff evaluation, and handoff report schemas</w:t>
      </w:r>
    </w:p>
    <w:p>
      <w:pPr>
        <w:pStyle w:val="BodyTight"/>
      </w:pPr>
      <w:r>
        <w:t>The verified effect decision schema carries decision_profile, gate_profile, receipt_profile, requested_capability, requested_effect, requested_scope, gate_allowed, gate_state, decision_state, effect_allowed, effect_performed, runtime_authority_granted, host_read_performed, host_write_performed, network_performed, error, and status. The central invariant is that effect_allowed=1 may coexist with effect_performed=0 and runtime_authority_granted=0.</w:t>
      </w:r>
    </w:p>
    <w:p>
      <w:pPr>
        <w:pStyle w:val="BodyTight"/>
      </w:pPr>
      <w:r>
        <w:t>The runtime handoff evaluation schema adds handoff_profile, requested_handoff, handoff_state, and handoff_eligible while preserving handoff_performed=0. The runtime handoff report schema adds report_profile, requested_report, report_state, and report_ready. Schema consumers must not collapse handoff_eligible=1 or report_ready=1 into runtime handoff execution.</w:t>
      </w:r>
    </w:p>
    <w:p>
      <w:pPr>
        <w:pStyle w:val="Heading2"/>
      </w:pPr>
      <w:r>
        <w:t>14.10 Report envelope and signature request schemas</w:t>
      </w:r>
    </w:p>
    <w:p>
      <w:pPr>
        <w:pStyle w:val="BodyTight"/>
      </w:pPr>
      <w:r>
        <w:t>The report envelope schema adds envelope_profile, requested_envelope, envelope_state, envelope_ready, and signature_performed to the runtime handoff report lineage. Its central invariant is that envelope_ready=1 may coexist with signature_performed=0, handoff_performed=0, effect_performed=0, runtime_authority_granted=0, and no host or network behavior.</w:t>
      </w:r>
    </w:p>
    <w:p>
      <w:pPr>
        <w:pStyle w:val="BodyTight"/>
      </w:pPr>
      <w:r>
        <w:t>The signature request schema adds signature_request_profile, requested_signature, signature_request_state, signature_request_ready, verification_performed, and private_key_handling. The current allowed request label is Ed25519-development, but that label is metadata-only. Schema consumers must not interpret signature_request_ready=1 as Ed25519 signing, key generation, private-key handling, trust establishment, or signature verification.</w:t>
      </w:r>
    </w:p>
    <w:p>
      <w:pPr>
        <w:pStyle w:val="Heading2"/>
      </w:pPr>
      <w:r>
        <w:t>14.11 Latticra Console contract schemas</w:t>
      </w:r>
    </w:p>
    <w:p>
      <w:pPr>
        <w:pStyle w:val="BodyTight"/>
      </w:pPr>
      <w:r>
        <w:t>LC contract schemas should stay small and auditable. The host-adapter contract centers fields such as contract_profile=lc-host-adapter-v0, host_adapter_enabled, host_adapter_present, host_embedding_contract_receipt_required, host_inventory_contract_receipt_required, operator_consent_required, runtime_boundary_required, seal_capability_labels_required, and promotion_gate.</w:t>
      </w:r>
    </w:p>
    <w:p>
      <w:pPr>
        <w:pStyle w:val="BodyTight"/>
      </w:pPr>
      <w:r>
        <w:t>The receipt path centers request_profile=lc-receipt-request-v0, schema_profile=lc-receipt-payload-schema-v0, draft_profile=lc-receipt-payload-artifact-draft-v0, binding_profile=lc-signature-request-binding-v0, requested_receipt_profile, requested_capability, requested_surfaces, payload_fields, required_authority_fields, required_prior_contracts, and signing_authorization_profile. Schema consumers must preserve payload_artifact_present=0, payload_materialized=0, payload_hash_computed=0, seal_signature_request_present=0, receipt_write_allowed=0, and receipt_signed=0 until later artifacts exist.</w:t>
      </w:r>
    </w:p>
    <w:p>
      <w:pPr>
        <w:pStyle w:val="BodyTight"/>
      </w:pPr>
      <w:r>
        <w:t>The OS and VM planning contracts center contract_profile=lc-os-base-v0, contract_profile=lc-vm-evidence-v0, vm_evidence_required, vm_evidence_capture_enabled, vm_evidence_artifact_present, os_base_enabled, production_os_claim, read_only_host_inventory_receipt_required, receipt_required_before_os_base, receipt_required_before_vm_evidence, and promotion_gate. These fields reserve evidence obligations; they do not grant boot, hypervisor, disk-image, guest, host, network, or runtime authority.</w:t>
      </w:r>
    </w:p>
    <w:p>
      <w:pPr>
        <w:pStyle w:val="Heading2"/>
      </w:pPr>
      <w:r>
        <w:t>14.12 Lat clause evidence in Runtime Boundary records</w:t>
      </w:r>
    </w:p>
    <w:p>
      <w:pPr>
        <w:pStyle w:val="BodyTight"/>
      </w:pPr>
      <w:r>
        <w:t>Runtime Boundary Lat pipeline records should keep provenance fields separate from authority fields. The current first-clause record shape includes lat_pipeline_first_clause_node_index, lat_pipeline_first_clause_role, lat_pipeline_first_clause_effect, lat_pipeline_first_clause_name, lat_pipeline_first_clause_operator, and lat_pipeline_first_clause_value.</w:t>
      </w:r>
    </w:p>
    <w:p>
      <w:pPr>
        <w:pStyle w:val="BodyTight"/>
      </w:pPr>
      <w:r>
        <w:t>The schema rule is that role, effect, operator, and value are copied evidence. They do not mean the operator was evaluated, the clause was enforced, the effect was performed, LIR executed, file/network I/O occurred, or runtime_authority_granted changed from zero.</w:t>
      </w:r>
    </w:p>
    <w:p>
      <w:pPr>
        <w:pStyle w:val="Heading1"/>
      </w:pPr>
      <w:r>
        <w:rPr>
          <w:rFonts w:ascii="Liberation Serif" w:hAnsi="Liberation Serif"/>
        </w:rPr>
        <w:t>Chapter 15. Test Lanes and Continuous Evidence</w:t>
      </w:r>
    </w:p>
    <w:p>
      <w:pPr>
        <w:pStyle w:val="Lead"/>
      </w:pPr>
      <w:r>
        <w:rPr>
          <w:rFonts w:ascii="Liberation Serif" w:hAnsi="Liberation Serif"/>
        </w:rPr>
        <w:t>Tests are not just quality gates in Latticra. They are the mechanism that keeps claims from exceeding evidence.</w:t>
      </w:r>
    </w:p>
    <w:p>
      <w:pPr>
        <w:pStyle w:val="BodyTight"/>
      </w:pPr>
      <w:r>
        <w:rPr>
          <w:rFonts w:ascii="Liberation Serif" w:hAnsi="Liberation Serif"/>
        </w:rPr>
        <w:t>The current project already includes or references useful lanes: Seal smoke checks, policy-denial checks, installer dry-run, guarded local install verification, uninstall verification, Rust formatting/checks for Panel installer code, shell script validation, Fedora VM CLI/RPM validation, and CI status tracking. The next step is to turn these into a continuous evidence architecture.</w:t>
      </w:r>
    </w:p>
    <w:tbl>
      <w:tblPr>
        <w:tblStyle w:val="TableGrid"/>
        <w:tblW w:type="auto" w:w="0"/>
        <w:jc w:val="center"/>
        <w:tblLook w:firstColumn="1" w:firstRow="1" w:lastColumn="0" w:lastRow="0" w:noHBand="0" w:noVBand="1" w:val="04A0"/>
      </w:tblPr>
      <w:tblGrid>
        <w:gridCol w:w="3331"/>
        <w:gridCol w:w="3331"/>
        <w:gridCol w:w="3331"/>
      </w:tblGrid>
      <w:tr>
        <w:tc>
          <w:tcPr>
            <w:tcW w:type="dxa" w:w="2376"/>
            <w:shd w:fill="E2E8F0"/>
            <w:tcMar>
              <w:top w:w="70" w:type="dxa"/>
              <w:start w:w="70" w:type="dxa"/>
              <w:bottom w:w="70" w:type="dxa"/>
              <w:end w:w="70" w:type="dxa"/>
            </w:tcMar>
            <w:vAlign w:val="center"/>
          </w:tcPr>
          <w:p>
            <w:r/>
            <w:r>
              <w:rPr>
                <w:rFonts w:ascii="Liberation Sans" w:hAnsi="Liberation Sans"/>
                <w:b/>
                <w:color w:val="0F172A"/>
                <w:sz w:val="17"/>
              </w:rPr>
              <w:t>Lane</w:t>
            </w:r>
          </w:p>
        </w:tc>
        <w:tc>
          <w:tcPr>
            <w:tcW w:type="dxa" w:w="3672"/>
            <w:shd w:fill="E2E8F0"/>
            <w:tcMar>
              <w:top w:w="70" w:type="dxa"/>
              <w:start w:w="70" w:type="dxa"/>
              <w:bottom w:w="70" w:type="dxa"/>
              <w:end w:w="70" w:type="dxa"/>
            </w:tcMar>
            <w:vAlign w:val="center"/>
          </w:tcPr>
          <w:p>
            <w:r/>
            <w:r>
              <w:rPr>
                <w:rFonts w:ascii="Liberation Sans" w:hAnsi="Liberation Sans"/>
                <w:b/>
                <w:color w:val="0F172A"/>
                <w:sz w:val="17"/>
              </w:rPr>
              <w:t>Purpose</w:t>
            </w:r>
          </w:p>
        </w:tc>
        <w:tc>
          <w:tcPr>
            <w:tcW w:type="dxa" w:w="3312"/>
            <w:shd w:fill="E2E8F0"/>
            <w:tcMar>
              <w:top w:w="70" w:type="dxa"/>
              <w:start w:w="70" w:type="dxa"/>
              <w:bottom w:w="70" w:type="dxa"/>
              <w:end w:w="70" w:type="dxa"/>
            </w:tcMar>
            <w:vAlign w:val="center"/>
          </w:tcPr>
          <w:p>
            <w:r/>
            <w:r>
              <w:rPr>
                <w:rFonts w:ascii="Liberation Sans" w:hAnsi="Liberation Sans"/>
                <w:b/>
                <w:color w:val="0F172A"/>
                <w:sz w:val="17"/>
              </w:rPr>
              <w:t>Evidence expected</w:t>
            </w:r>
          </w:p>
        </w:tc>
      </w:tr>
      <w:tr>
        <w:tc>
          <w:tcPr>
            <w:tcW w:type="dxa" w:w="2376"/>
            <w:tcMar>
              <w:top w:w="60" w:type="dxa"/>
              <w:start w:w="70" w:type="dxa"/>
              <w:bottom w:w="60" w:type="dxa"/>
              <w:end w:w="70" w:type="dxa"/>
            </w:tcMar>
            <w:vAlign w:val="top"/>
          </w:tcPr>
          <w:p>
            <w:pPr>
              <w:spacing w:after="0"/>
            </w:pPr>
            <w:r/>
            <w:r>
              <w:rPr>
                <w:rFonts w:ascii="Liberation Sans" w:hAnsi="Liberation Sans"/>
                <w:color w:val="0F172A"/>
                <w:sz w:val="16"/>
              </w:rPr>
              <w:t>make seal</w:t>
            </w:r>
          </w:p>
        </w:tc>
        <w:tc>
          <w:tcPr>
            <w:tcW w:type="dxa" w:w="3672"/>
            <w:tcMar>
              <w:top w:w="60" w:type="dxa"/>
              <w:start w:w="70" w:type="dxa"/>
              <w:bottom w:w="60" w:type="dxa"/>
              <w:end w:w="70" w:type="dxa"/>
            </w:tcMar>
            <w:vAlign w:val="top"/>
          </w:tcPr>
          <w:p>
            <w:pPr>
              <w:spacing w:after="0"/>
            </w:pPr>
            <w:r/>
            <w:r>
              <w:rPr>
                <w:rFonts w:ascii="Liberation Sans" w:hAnsi="Liberation Sans"/>
                <w:color w:val="0F172A"/>
                <w:sz w:val="16"/>
              </w:rPr>
              <w:t>Smoke-check local Seal behavior.</w:t>
            </w:r>
          </w:p>
        </w:tc>
        <w:tc>
          <w:tcPr>
            <w:tcW w:type="dxa" w:w="3312"/>
            <w:tcMar>
              <w:top w:w="60" w:type="dxa"/>
              <w:start w:w="70" w:type="dxa"/>
              <w:bottom w:w="60" w:type="dxa"/>
              <w:end w:w="70" w:type="dxa"/>
            </w:tcMar>
            <w:vAlign w:val="top"/>
          </w:tcPr>
          <w:p>
            <w:pPr>
              <w:spacing w:after="0"/>
            </w:pPr>
            <w:r/>
            <w:r>
              <w:rPr>
                <w:rFonts w:ascii="Liberation Sans" w:hAnsi="Liberation Sans"/>
                <w:color w:val="0F172A"/>
                <w:sz w:val="16"/>
              </w:rPr>
              <w:t>Report or command result.</w:t>
            </w:r>
          </w:p>
        </w:tc>
      </w:tr>
      <w:tr>
        <w:tc>
          <w:tcPr>
            <w:tcW w:type="dxa" w:w="2376"/>
            <w:tcMar>
              <w:top w:w="60" w:type="dxa"/>
              <w:start w:w="70" w:type="dxa"/>
              <w:bottom w:w="60" w:type="dxa"/>
              <w:end w:w="70" w:type="dxa"/>
            </w:tcMar>
            <w:vAlign w:val="top"/>
          </w:tcPr>
          <w:p>
            <w:pPr>
              <w:spacing w:after="0"/>
            </w:pPr>
            <w:r/>
            <w:r>
              <w:rPr>
                <w:rFonts w:ascii="Liberation Sans" w:hAnsi="Liberation Sans"/>
                <w:color w:val="0F172A"/>
                <w:sz w:val="16"/>
              </w:rPr>
              <w:t>make seal-policy-denials</w:t>
            </w:r>
          </w:p>
        </w:tc>
        <w:tc>
          <w:tcPr>
            <w:tcW w:type="dxa" w:w="3672"/>
            <w:tcMar>
              <w:top w:w="60" w:type="dxa"/>
              <w:start w:w="70" w:type="dxa"/>
              <w:bottom w:w="60" w:type="dxa"/>
              <w:end w:w="70" w:type="dxa"/>
            </w:tcMar>
            <w:vAlign w:val="top"/>
          </w:tcPr>
          <w:p>
            <w:pPr>
              <w:spacing w:after="0"/>
            </w:pPr>
            <w:r/>
            <w:r>
              <w:rPr>
                <w:rFonts w:ascii="Liberation Sans" w:hAnsi="Liberation Sans"/>
                <w:color w:val="0F172A"/>
                <w:sz w:val="16"/>
              </w:rPr>
              <w:t>Prove unsafe policies are denied.</w:t>
            </w:r>
          </w:p>
        </w:tc>
        <w:tc>
          <w:tcPr>
            <w:tcW w:type="dxa" w:w="3312"/>
            <w:tcMar>
              <w:top w:w="60" w:type="dxa"/>
              <w:start w:w="70" w:type="dxa"/>
              <w:bottom w:w="60" w:type="dxa"/>
              <w:end w:w="70" w:type="dxa"/>
            </w:tcMar>
            <w:vAlign w:val="top"/>
          </w:tcPr>
          <w:p>
            <w:pPr>
              <w:spacing w:after="0"/>
            </w:pPr>
            <w:r/>
            <w:r>
              <w:rPr>
                <w:rFonts w:ascii="Liberation Sans" w:hAnsi="Liberation Sans"/>
                <w:color w:val="0F172A"/>
                <w:sz w:val="16"/>
              </w:rPr>
              <w:t>Denial transcript and status.</w:t>
            </w:r>
          </w:p>
        </w:tc>
      </w:tr>
      <w:tr>
        <w:tc>
          <w:tcPr>
            <w:tcW w:type="dxa" w:w="2376"/>
            <w:tcMar>
              <w:top w:w="60" w:type="dxa"/>
              <w:start w:w="70" w:type="dxa"/>
              <w:bottom w:w="60" w:type="dxa"/>
              <w:end w:w="70" w:type="dxa"/>
            </w:tcMar>
            <w:vAlign w:val="top"/>
          </w:tcPr>
          <w:p>
            <w:pPr>
              <w:spacing w:after="0"/>
            </w:pPr>
            <w:r/>
            <w:r>
              <w:rPr>
                <w:rFonts w:ascii="Liberation Sans" w:hAnsi="Liberation Sans"/>
                <w:color w:val="0F172A"/>
                <w:sz w:val="16"/>
              </w:rPr>
              <w:t>installer dry-run</w:t>
            </w:r>
          </w:p>
        </w:tc>
        <w:tc>
          <w:tcPr>
            <w:tcW w:type="dxa" w:w="3672"/>
            <w:tcMar>
              <w:top w:w="60" w:type="dxa"/>
              <w:start w:w="70" w:type="dxa"/>
              <w:bottom w:w="60" w:type="dxa"/>
              <w:end w:w="70" w:type="dxa"/>
            </w:tcMar>
            <w:vAlign w:val="top"/>
          </w:tcPr>
          <w:p>
            <w:pPr>
              <w:spacing w:after="0"/>
            </w:pPr>
            <w:r/>
            <w:r>
              <w:rPr>
                <w:rFonts w:ascii="Liberation Sans" w:hAnsi="Liberation Sans"/>
                <w:color w:val="0F172A"/>
                <w:sz w:val="16"/>
              </w:rPr>
              <w:t>Validate plan without host mutation.</w:t>
            </w:r>
          </w:p>
        </w:tc>
        <w:tc>
          <w:tcPr>
            <w:tcW w:type="dxa" w:w="3312"/>
            <w:tcMar>
              <w:top w:w="60" w:type="dxa"/>
              <w:start w:w="70" w:type="dxa"/>
              <w:bottom w:w="60" w:type="dxa"/>
              <w:end w:w="70" w:type="dxa"/>
            </w:tcMar>
            <w:vAlign w:val="top"/>
          </w:tcPr>
          <w:p>
            <w:pPr>
              <w:spacing w:after="0"/>
            </w:pPr>
            <w:r/>
            <w:r>
              <w:rPr>
                <w:rFonts w:ascii="Liberation Sans" w:hAnsi="Liberation Sans"/>
                <w:color w:val="0F172A"/>
                <w:sz w:val="16"/>
              </w:rPr>
              <w:t>Plan and dry-run receipt.</w:t>
            </w:r>
          </w:p>
        </w:tc>
      </w:tr>
      <w:tr>
        <w:tc>
          <w:tcPr>
            <w:tcW w:type="dxa" w:w="2376"/>
            <w:tcMar>
              <w:top w:w="60" w:type="dxa"/>
              <w:start w:w="70" w:type="dxa"/>
              <w:bottom w:w="60" w:type="dxa"/>
              <w:end w:w="70" w:type="dxa"/>
            </w:tcMar>
            <w:vAlign w:val="top"/>
          </w:tcPr>
          <w:p>
            <w:pPr>
              <w:spacing w:after="0"/>
            </w:pPr>
            <w:r/>
            <w:r>
              <w:rPr>
                <w:rFonts w:ascii="Liberation Sans" w:hAnsi="Liberation Sans"/>
                <w:color w:val="0F172A"/>
                <w:sz w:val="16"/>
              </w:rPr>
              <w:t>verify-local</w:t>
            </w:r>
          </w:p>
        </w:tc>
        <w:tc>
          <w:tcPr>
            <w:tcW w:type="dxa" w:w="3672"/>
            <w:tcMar>
              <w:top w:w="60" w:type="dxa"/>
              <w:start w:w="70" w:type="dxa"/>
              <w:bottom w:w="60" w:type="dxa"/>
              <w:end w:w="70" w:type="dxa"/>
            </w:tcMar>
            <w:vAlign w:val="top"/>
          </w:tcPr>
          <w:p>
            <w:pPr>
              <w:spacing w:after="0"/>
            </w:pPr>
            <w:r/>
            <w:r>
              <w:rPr>
                <w:rFonts w:ascii="Liberation Sans" w:hAnsi="Liberation Sans"/>
                <w:color w:val="0F172A"/>
                <w:sz w:val="16"/>
              </w:rPr>
              <w:t>Check guarded user-local install.</w:t>
            </w:r>
          </w:p>
        </w:tc>
        <w:tc>
          <w:tcPr>
            <w:tcW w:type="dxa" w:w="3312"/>
            <w:tcMar>
              <w:top w:w="60" w:type="dxa"/>
              <w:start w:w="70" w:type="dxa"/>
              <w:bottom w:w="60" w:type="dxa"/>
              <w:end w:w="70" w:type="dxa"/>
            </w:tcMar>
            <w:vAlign w:val="top"/>
          </w:tcPr>
          <w:p>
            <w:pPr>
              <w:spacing w:after="0"/>
            </w:pPr>
            <w:r/>
            <w:r>
              <w:rPr>
                <w:rFonts w:ascii="Liberation Sans" w:hAnsi="Liberation Sans"/>
                <w:color w:val="0F172A"/>
                <w:sz w:val="16"/>
              </w:rPr>
              <w:t>Installed paths and Seal report generation.</w:t>
            </w:r>
          </w:p>
        </w:tc>
      </w:tr>
      <w:tr>
        <w:tc>
          <w:tcPr>
            <w:tcW w:type="dxa" w:w="2376"/>
            <w:tcMar>
              <w:top w:w="60" w:type="dxa"/>
              <w:start w:w="70" w:type="dxa"/>
              <w:bottom w:w="60" w:type="dxa"/>
              <w:end w:w="70" w:type="dxa"/>
            </w:tcMar>
            <w:vAlign w:val="top"/>
          </w:tcPr>
          <w:p>
            <w:pPr>
              <w:spacing w:after="0"/>
            </w:pPr>
            <w:r/>
            <w:r>
              <w:rPr>
                <w:rFonts w:ascii="Liberation Sans" w:hAnsi="Liberation Sans"/>
                <w:color w:val="0F172A"/>
                <w:sz w:val="16"/>
              </w:rPr>
              <w:t>uninstall-local</w:t>
            </w:r>
          </w:p>
        </w:tc>
        <w:tc>
          <w:tcPr>
            <w:tcW w:type="dxa" w:w="3672"/>
            <w:tcMar>
              <w:top w:w="60" w:type="dxa"/>
              <w:start w:w="70" w:type="dxa"/>
              <w:bottom w:w="60" w:type="dxa"/>
              <w:end w:w="70" w:type="dxa"/>
            </w:tcMar>
            <w:vAlign w:val="top"/>
          </w:tcPr>
          <w:p>
            <w:pPr>
              <w:spacing w:after="0"/>
            </w:pPr>
            <w:r/>
            <w:r>
              <w:rPr>
                <w:rFonts w:ascii="Liberation Sans" w:hAnsi="Liberation Sans"/>
                <w:color w:val="0F172A"/>
                <w:sz w:val="16"/>
              </w:rPr>
              <w:t>Remove managed files.</w:t>
            </w:r>
          </w:p>
        </w:tc>
        <w:tc>
          <w:tcPr>
            <w:tcW w:type="dxa" w:w="3312"/>
            <w:tcMar>
              <w:top w:w="60" w:type="dxa"/>
              <w:start w:w="70" w:type="dxa"/>
              <w:bottom w:w="60" w:type="dxa"/>
              <w:end w:w="70" w:type="dxa"/>
            </w:tcMar>
            <w:vAlign w:val="top"/>
          </w:tcPr>
          <w:p>
            <w:pPr>
              <w:spacing w:after="0"/>
            </w:pPr>
            <w:r/>
            <w:r>
              <w:rPr>
                <w:rFonts w:ascii="Liberation Sans" w:hAnsi="Liberation Sans"/>
                <w:color w:val="0F172A"/>
                <w:sz w:val="16"/>
              </w:rPr>
              <w:t>Removal transcript and absence checks.</w:t>
            </w:r>
          </w:p>
        </w:tc>
      </w:tr>
      <w:tr>
        <w:tc>
          <w:tcPr>
            <w:tcW w:type="dxa" w:w="2376"/>
            <w:tcMar>
              <w:top w:w="60" w:type="dxa"/>
              <w:start w:w="70" w:type="dxa"/>
              <w:bottom w:w="60" w:type="dxa"/>
              <w:end w:w="70" w:type="dxa"/>
            </w:tcMar>
            <w:vAlign w:val="top"/>
          </w:tcPr>
          <w:p>
            <w:pPr>
              <w:spacing w:after="0"/>
            </w:pPr>
            <w:r/>
            <w:r>
              <w:rPr>
                <w:rFonts w:ascii="Liberation Sans" w:hAnsi="Liberation Sans"/>
                <w:color w:val="0F172A"/>
                <w:sz w:val="16"/>
              </w:rPr>
              <w:t>Panel Rust check</w:t>
            </w:r>
          </w:p>
        </w:tc>
        <w:tc>
          <w:tcPr>
            <w:tcW w:type="dxa" w:w="3672"/>
            <w:tcMar>
              <w:top w:w="60" w:type="dxa"/>
              <w:start w:w="70" w:type="dxa"/>
              <w:bottom w:w="60" w:type="dxa"/>
              <w:end w:w="70" w:type="dxa"/>
            </w:tcMar>
            <w:vAlign w:val="top"/>
          </w:tcPr>
          <w:p>
            <w:pPr>
              <w:spacing w:after="0"/>
            </w:pPr>
            <w:r/>
            <w:r>
              <w:rPr>
                <w:rFonts w:ascii="Liberation Sans" w:hAnsi="Liberation Sans"/>
                <w:color w:val="0F172A"/>
                <w:sz w:val="16"/>
              </w:rPr>
              <w:t>Validate GUI installer crate builds.</w:t>
            </w:r>
          </w:p>
        </w:tc>
        <w:tc>
          <w:tcPr>
            <w:tcW w:type="dxa" w:w="3312"/>
            <w:tcMar>
              <w:top w:w="60" w:type="dxa"/>
              <w:start w:w="70" w:type="dxa"/>
              <w:bottom w:w="60" w:type="dxa"/>
              <w:end w:w="70" w:type="dxa"/>
            </w:tcMar>
            <w:vAlign w:val="top"/>
          </w:tcPr>
          <w:p>
            <w:pPr>
              <w:spacing w:after="0"/>
            </w:pPr>
            <w:r/>
            <w:r>
              <w:rPr>
                <w:rFonts w:ascii="Liberation Sans" w:hAnsi="Liberation Sans"/>
                <w:color w:val="0F172A"/>
                <w:sz w:val="16"/>
              </w:rPr>
              <w:t>cargo fmt/check output.</w:t>
            </w:r>
          </w:p>
        </w:tc>
      </w:tr>
      <w:tr>
        <w:tc>
          <w:tcPr>
            <w:tcW w:type="dxa" w:w="2376"/>
            <w:tcMar>
              <w:top w:w="60" w:type="dxa"/>
              <w:start w:w="70" w:type="dxa"/>
              <w:bottom w:w="60" w:type="dxa"/>
              <w:end w:w="70" w:type="dxa"/>
            </w:tcMar>
            <w:vAlign w:val="top"/>
          </w:tcPr>
          <w:p>
            <w:pPr>
              <w:spacing w:after="0"/>
            </w:pPr>
            <w:r/>
            <w:r>
              <w:rPr>
                <w:rFonts w:ascii="Liberation Sans" w:hAnsi="Liberation Sans"/>
                <w:color w:val="0F172A"/>
                <w:sz w:val="16"/>
              </w:rPr>
              <w:t>Fedora VM/RPM lane</w:t>
            </w:r>
          </w:p>
        </w:tc>
        <w:tc>
          <w:tcPr>
            <w:tcW w:type="dxa" w:w="3672"/>
            <w:tcMar>
              <w:top w:w="60" w:type="dxa"/>
              <w:start w:w="70" w:type="dxa"/>
              <w:bottom w:w="60" w:type="dxa"/>
              <w:end w:w="70" w:type="dxa"/>
            </w:tcMar>
            <w:vAlign w:val="top"/>
          </w:tcPr>
          <w:p>
            <w:pPr>
              <w:spacing w:after="0"/>
            </w:pPr>
            <w:r/>
            <w:r>
              <w:rPr>
                <w:rFonts w:ascii="Liberation Sans" w:hAnsi="Liberation Sans"/>
                <w:color w:val="0F172A"/>
                <w:sz w:val="16"/>
              </w:rPr>
              <w:t>Research local packaging and validation.</w:t>
            </w:r>
          </w:p>
        </w:tc>
        <w:tc>
          <w:tcPr>
            <w:tcW w:type="dxa" w:w="3312"/>
            <w:tcMar>
              <w:top w:w="60" w:type="dxa"/>
              <w:start w:w="70" w:type="dxa"/>
              <w:bottom w:w="60" w:type="dxa"/>
              <w:end w:w="70" w:type="dxa"/>
            </w:tcMar>
            <w:vAlign w:val="top"/>
          </w:tcPr>
          <w:p>
            <w:pPr>
              <w:spacing w:after="0"/>
            </w:pPr>
            <w:r/>
            <w:r>
              <w:rPr>
                <w:rFonts w:ascii="Liberation Sans" w:hAnsi="Liberation Sans"/>
                <w:color w:val="0F172A"/>
                <w:sz w:val="16"/>
              </w:rPr>
              <w:t>VM transcript with non-claims preserved.</w:t>
            </w:r>
          </w:p>
        </w:tc>
      </w:tr>
      <w:tr>
        <w:tc>
          <w:tcPr>
            <w:tcW w:type="dxa" w:w="3331"/>
          </w:tcPr>
          <w:p>
            <w:r>
              <w:t>make latticra-console</w:t>
            </w:r>
          </w:p>
        </w:tc>
        <w:tc>
          <w:tcPr>
            <w:tcW w:type="dxa" w:w="3331"/>
          </w:tcPr>
          <w:p>
            <w:r>
              <w:t>Validate LC registry, Panel installability, host/receipt/signature/OS/VM contract reports, and boundary metadata.</w:t>
            </w:r>
          </w:p>
        </w:tc>
        <w:tc>
          <w:tcPr>
            <w:tcW w:type="dxa" w:w="3331"/>
          </w:tcPr>
          <w:p>
            <w:r>
              <w:t>Console report transcript with required contract-present fields and no-effect denial fields.</w:t>
            </w:r>
          </w:p>
        </w:tc>
      </w:tr>
      <w:tr>
        <w:tc>
          <w:tcPr>
            <w:tcW w:type="dxa" w:w="3331"/>
          </w:tcPr>
          <w:p>
            <w:r>
              <w:t>Lat pipeline and Runtime Boundary evidence</w:t>
            </w:r>
          </w:p>
        </w:tc>
        <w:tc>
          <w:tcPr>
            <w:tcW w:type="dxa" w:w="3331"/>
          </w:tcPr>
          <w:p>
            <w:r>
              <w:t>Validate Lat first-clause provenance through pipeline reports and Runtime Boundary records without changing authority.</w:t>
            </w:r>
          </w:p>
        </w:tc>
        <w:tc>
          <w:tcPr>
            <w:tcW w:type="dxa" w:w="3331"/>
          </w:tcPr>
          <w:p>
            <w:r>
              <w:t>Lat pipeline and Runtime Boundary transcripts with stable clause metadata and no-effect denial fields.</w:t>
            </w:r>
          </w:p>
        </w:tc>
      </w:tr>
    </w:tbl>
    <w:p>
      <w:pPr>
        <w:pStyle w:val="BodyTight"/>
      </w:pPr>
    </w:p>
    <w:p>
      <w:pPr>
        <w:pStyle w:val="Heading2"/>
      </w:pPr>
      <w:r>
        <w:rPr>
          <w:rFonts w:ascii="Liberation Serif" w:hAnsi="Liberation Serif"/>
        </w:rPr>
        <w:t>15.1 Evidence-level testing</w:t>
      </w:r>
    </w:p>
    <w:p>
      <w:pPr>
        <w:pStyle w:val="BodyTight"/>
      </w:pPr>
      <w:r>
        <w:rPr>
          <w:rFonts w:ascii="Liberation Serif" w:hAnsi="Liberation Serif"/>
        </w:rPr>
        <w:t>A normal test says "the code behaved." An evidence-level test says "the code behaved, emitted the expected witness, and did not claim an unsupported authority." For Latticra, that second form is the more important one.</w:t>
      </w:r>
    </w:p>
    <w:p>
      <w:pPr>
        <w:pStyle w:val="CaptionSmall"/>
      </w:pPr>
      <w:r>
        <w:rPr>
          <w:rFonts w:ascii="Liberation Serif" w:hAnsi="Liberation Serif"/>
        </w:rPr>
        <w:t>Example 15.1 - Evidence-level assertions.</w:t>
      </w:r>
    </w:p>
    <w:tbl>
      <w:tblPr>
        <w:tblW w:type="auto" w:w="0"/>
        <w:jc w:val="center"/>
        <w:tblLook w:firstColumn="1" w:firstRow="1" w:lastColumn="0" w:lastRow="0" w:noHBand="0" w:noVBand="1" w:val="04A0"/>
      </w:tblPr>
      <w:tblGrid>
        <w:gridCol w:w="9994"/>
      </w:tblGrid>
      <w:tr>
        <w:tc>
          <w:tcPr>
            <w:tcW w:type="dxa" w:w="9994"/>
            <w:shd w:fill="F8FAFC"/>
            <w:tcMar>
              <w:top w:w="100" w:type="dxa"/>
              <w:start w:w="120" w:type="dxa"/>
              <w:bottom w:w="100" w:type="dxa"/>
              <w:end w:w="120" w:type="dxa"/>
            </w:tcMar>
          </w:tcPr>
          <w:p>
            <w:pPr>
              <w:pStyle w:val="CodeBlock"/>
              <w:spacing w:after="0"/>
            </w:pPr>
            <w:r>
              <w:rPr>
                <w:rFonts w:ascii="Liberation Mono" w:hAnsi="Liberation Mono"/>
                <w:sz w:val="16"/>
              </w:rPr>
              <w:t>assert report.status == "PASS"</w:t>
            </w:r>
            <w:r>
              <w:br/>
            </w:r>
            <w:r>
              <w:rPr>
                <w:rFonts w:ascii="Liberation Mono" w:hAnsi="Liberation Mono"/>
                <w:sz w:val="16"/>
              </w:rPr>
              <w:t>assert report.network_authority == 0</w:t>
            </w:r>
            <w:r>
              <w:br/>
            </w:r>
            <w:r>
              <w:rPr>
                <w:rFonts w:ascii="Liberation Mono" w:hAnsi="Liberation Mono"/>
                <w:sz w:val="16"/>
              </w:rPr>
              <w:t>assert report.root_authority == 0</w:t>
            </w:r>
            <w:r>
              <w:br/>
            </w:r>
            <w:r>
              <w:rPr>
                <w:rFonts w:ascii="Liberation Mono" w:hAnsi="Liberation Mono"/>
                <w:sz w:val="16"/>
              </w:rPr>
              <w:t>assert report.runtime_enforcement_authority == 0</w:t>
            </w:r>
            <w:r>
              <w:br/>
            </w:r>
            <w:r>
              <w:rPr>
                <w:rFonts w:ascii="Liberation Mono" w:hAnsi="Liberation Mono"/>
                <w:sz w:val="16"/>
              </w:rPr>
              <w:t>assert "host is secure" not in report.public_summary.lower()</w:t>
            </w:r>
          </w:p>
        </w:tc>
      </w:tr>
    </w:tbl>
    <w:p>
      <w:pPr>
        <w:pStyle w:val="BodyTight"/>
      </w:pPr>
    </w:p>
    <w:p>
      <w:pPr>
        <w:pStyle w:val="Heading2"/>
      </w:pPr>
      <w:r>
        <w:rPr>
          <w:rFonts w:ascii="Liberation Serif" w:hAnsi="Liberation Serif"/>
        </w:rPr>
        <w:t>15.2 Claim linting</w:t>
      </w:r>
    </w:p>
    <w:p>
      <w:pPr>
        <w:pStyle w:val="BodyTight"/>
      </w:pPr>
      <w:r>
        <w:rPr>
          <w:rFonts w:ascii="Liberation Serif" w:hAnsi="Liberation Serif"/>
        </w:rPr>
        <w:t>A future CI lane should lint README files, docs, Panel text, and release notes for forbidden phrases such as production-ready, ransomware-proof, malware-proof, kernel-enforced, runtime-enforced, certified, or guaranteed secure. The linter should fail unless the claim ledger says the corresponding evidence and tests exist.</w:t>
      </w:r>
    </w:p>
    <w:p>
      <w:pPr>
        <w:pStyle w:val="Heading2"/>
      </w:pPr>
      <w:r>
        <w:rPr>
          <w:rFonts w:ascii="Liberation Serif" w:hAnsi="Liberation Serif"/>
        </w:rPr>
        <w:t>15.3 Disposable validation environments</w:t>
      </w:r>
    </w:p>
    <w:p>
      <w:pPr>
        <w:pStyle w:val="BodyTight"/>
      </w:pPr>
      <w:r>
        <w:rPr>
          <w:rFonts w:ascii="Liberation Serif" w:hAnsi="Liberation Serif"/>
        </w:rPr>
        <w:t>Host-level validation should remain isolated and explicit. Disposable Fedora VM lanes are useful because they separate validation from daily-driver risk. They also allow the project to say exactly what was validated without claiming Fedora approval, production readiness, or immutable-host compatibility.</w:t>
      </w:r>
    </w:p>
    <w:p>
      <w:pPr>
        <w:pStyle w:val="Heading2"/>
      </w:pPr>
      <w:r>
        <w:t>15.4 Nucleus and Nadia validation lanes</w:t>
      </w:r>
    </w:p>
    <w:p>
      <w:pPr>
        <w:pStyle w:val="BodyTight"/>
      </w:pPr>
      <w:r>
        <w:t>The AI-era validation lane should prove non-effects as aggressively as it proves positive metadata. The important evidence is often the zero: no runtime entered, no prompt read, no model loaded, no tokenizer opened, no task executed, and no tool authority granted.</w:t>
      </w:r>
    </w:p>
    <w:p>
      <w:pPr>
        <w:pStyle w:val="ListBullet"/>
      </w:pPr>
      <w:r>
        <w:t>Nucleus focused tests should keep report-only execution labels, no-effect alignment labels, future-gated behavior, denied mutations, and disabled server/recovery/hardware/runtime behavior stable across refactors.</w:t>
      </w:r>
    </w:p>
    <w:p>
      <w:pPr>
        <w:pStyle w:val="ListBullet"/>
      </w:pPr>
      <w:r>
        <w:t>Nadia focused tests should cover Stage-0 through Stage-27 contract outputs, inherited protective-safety fields, installed command names, Panel/Console metadata, and denial fields for model, tokenizer, prompt, runtime, network, source-mutation, and tool authority.</w:t>
      </w:r>
    </w:p>
    <w:p>
      <w:pPr>
        <w:pStyle w:val="ListBullet"/>
      </w:pPr>
      <w:r>
        <w:t>A failing validation lane should weaken public wording before it widens capability. In this substrate, conservative status is a feature, not a lack of ambition.</w:t>
      </w:r>
    </w:p>
    <w:p>
      <w:pPr>
        <w:pStyle w:val="Heading2"/>
      </w:pPr>
      <w:r>
        <w:t>15.5 Platform validation lanes</w:t>
      </w:r>
    </w:p>
    <w:p>
      <w:pPr>
        <w:pStyle w:val="BodyTight"/>
      </w:pPr>
      <w:r>
        <w:t>Platform validation should be treated as evidence stratification. The question is not merely whether a command succeeded; it is where the effect occurred, what was allowed to mutate, and which larger readiness claim remained denied.</w:t>
      </w:r>
    </w:p>
    <w:p>
      <w:pPr>
        <w:pStyle w:val="ListBullet"/>
      </w:pPr>
      <w:r>
        <w:t>macOS tests should prove path guards, user-local target selection, managed-marker requirements, closed commit gates, verification-transcript contract fields, reset/uninstall dry-run ordering, and zero host mutation while no writer exists.</w:t>
      </w:r>
    </w:p>
    <w:p>
      <w:pPr>
        <w:pStyle w:val="ListBullet"/>
      </w:pPr>
      <w:r>
        <w:t>Fedora tests should distinguish static spec checks, installroot lifecycle evidence, disposable-VM local RPM validation, manual host release-candidate classification, and production-readiness blockers.</w:t>
      </w:r>
    </w:p>
    <w:p>
      <w:pPr>
        <w:pStyle w:val="ListBullet"/>
      </w:pPr>
      <w:r>
        <w:t>A platform validation report should always carry negative fields: root_authority=0, network_performed=0, production_installer_ready=0, platform_approval_claimed=0, and daily_driver_install_ready=0 unless a later evidence package proves otherwise.</w:t>
      </w:r>
    </w:p>
    <w:p>
      <w:pPr>
        <w:pStyle w:val="Heading2"/>
      </w:pPr>
      <w:r>
        <w:rPr>
          <w:rFonts w:ascii="Liberation Serif" w:hAnsi="Liberation Serif" w:eastAsia="Liberation Serif"/>
        </w:rPr>
        <w:t>15.6 Seal trust-boundary validation lanes</w:t>
      </w:r>
    </w:p>
    <w:p>
      <w:pPr>
        <w:pStyle w:val="BodyTight"/>
      </w:pPr>
      <w:r>
        <w:rPr>
          <w:rFonts w:ascii="Liberation Serif" w:hAnsi="Liberation Serif" w:eastAsia="Liberation Serif"/>
        </w:rPr>
        <w:t>Seal trust-boundary tests should prove the negative path as carefully as the happy path. The signed-request lane should still assert that signed-request support, generation, signed-request verification, signature-present, signature-valid, trust-store, revocation, network, host-effect, and runtime-authority fields remain zero until those specific layers exist.</w:t>
      </w:r>
    </w:p>
    <w:p>
      <w:pPr>
        <w:pStyle w:val="BodyTight"/>
      </w:pPr>
      <w:r>
        <w:rPr>
          <w:rFonts w:ascii="Liberation Serif" w:hAnsi="Liberation Serif" w:eastAsia="Liberation Serif"/>
        </w:rPr>
        <w:t>The request-freshness lane should cover timestamp and nonce vocabulary without claiming trusted clocks, nonce storage, replay caches, freshness validation, replay protection, context hashing, parameter hashing, or enforcement. The report surface is valuable precisely because it makes the absence of those mechanisms reproducible.</w:t>
      </w:r>
    </w:p>
    <w:p>
      <w:pPr>
        <w:pStyle w:val="BodyTight"/>
      </w:pPr>
      <w:r>
        <w:rPr>
          <w:rFonts w:ascii="Liberation Serif" w:hAnsi="Liberation Serif" w:eastAsia="Liberation Serif"/>
        </w:rPr>
        <w:t>The baseline verification-receipt and crypto-backend lanes should keep unverified and unsupported predecessor states stable: verification_state=unsupported, receipt_state=unverified-metadata, crypto_verify_state=unsupported, cryptographic_verification_performed=0, verified=0, authority_usable=0, and runtime_authority_granted=0. The Ed25519 and promotion lanes then prove the later, narrower evidence upgrade separately.</w:t>
      </w:r>
    </w:p>
    <w:p>
      <w:pPr>
        <w:pStyle w:val="BodyTight"/>
      </w:pPr>
      <w:r>
        <w:rPr>
          <w:rFonts w:ascii="Liberation Serif" w:hAnsi="Liberation Serif" w:eastAsia="Liberation Serif"/>
        </w:rPr>
        <w:t>The capability-gate and effect-decision lanes should assert denied defaults: gate_state=denied-unverified, gate_allowed=0, decision_state=denied-gate, effect_allowed=0, effect_performed=0, host_read_performed=0, host_write_performed=0, network_performed=0, and runtime_authority_granted=0. When those tests fail, the default response should be to weaken or fix the claim, not to widen authority.</w:t>
      </w:r>
    </w:p>
    <w:p>
      <w:pPr>
        <w:pStyle w:val="Heading2"/>
      </w:pPr>
      <w:r>
        <w:rPr>
          <w:rFonts w:ascii="Liberation Serif" w:hAnsi="Liberation Serif" w:eastAsia="Liberation Serif"/>
        </w:rPr>
        <w:t>15.7 Ed25519 and promotion validation lanes</w:t>
      </w:r>
    </w:p>
    <w:p>
      <w:pPr>
        <w:pStyle w:val="BodyTight"/>
      </w:pPr>
      <w:r>
        <w:rPr>
          <w:rFonts w:ascii="Liberation Serif" w:hAnsi="Liberation Serif" w:eastAsia="Liberation Serif"/>
        </w:rPr>
        <w:t>The Ed25519 verify-only lane should prove both the real positive and the safe negative cases. The positive case verifies the RFC8032-style test vector and renders crypto_verify_state=verified, cryptographic_verification_performed=1, verified=1, authority_usable=0, capability_gate_allowed=0, and runtime_authority_granted=0.</w:t>
      </w:r>
    </w:p>
    <w:p>
      <w:pPr>
        <w:pStyle w:val="BodyTight"/>
      </w:pPr>
      <w:r>
        <w:rPr>
          <w:rFonts w:ascii="Liberation Serif" w:hAnsi="Liberation Serif" w:eastAsia="Liberation Serif"/>
        </w:rPr>
        <w:t>The negative cases are just as important: tampered signature, unsupported algorithm, missing message, oversized message, missing public key, wrong public-key size, missing signature, wrong signature size, provider failure, null output, null report buffers, and tiny report buffers must fail closed without key generation, signing, trust-store access, revocation lookup, host reads, host writes, network access, capability enforcement, or runtime authority.</w:t>
      </w:r>
    </w:p>
    <w:p>
      <w:pPr>
        <w:pStyle w:val="BodyTight"/>
      </w:pPr>
      <w:r>
        <w:rPr>
          <w:rFonts w:ascii="Liberation Serif" w:hAnsi="Liberation Serif" w:eastAsia="Liberation Serif"/>
        </w:rPr>
        <w:t>The verified receipt promotion lane should accept only a successful Ed25519 verify-only result. It should reject unsupported verification, verification-not-performed, verified=0, invalid=1, wrong crypto state, missing digest, and missing public-key identity. Its success case must keep authority_usable=0, capability_gate_allowed=0, and runtime_authority_granted=0 visible in both the record and report.</w:t>
      </w:r>
    </w:p>
    <w:p>
      <w:pPr>
        <w:pStyle w:val="Heading2"/>
      </w:pPr>
      <w:r>
        <w:rPr>
          <w:rFonts w:ascii="Liberation Serif" w:hAnsi="Liberation Serif" w:eastAsia="Liberation Serif"/>
        </w:rPr>
        <w:t>15.8 Verified capability gate validation lane</w:t>
      </w:r>
    </w:p>
    <w:p>
      <w:pPr>
        <w:pStyle w:val="BodyTight"/>
      </w:pPr>
      <w:r>
        <w:rPr>
          <w:rFonts w:ascii="Liberation Serif" w:hAnsi="Liberation Serif" w:eastAsia="Liberation Serif"/>
        </w:rPr>
        <w:t>The verified capability gate lane should prove that the narrow allowlist works and that the boundaries remain visible. Valid report/evaluate requests may set gate_allowed=1 and gate_state=allowed-metadata-only while preserving runtime_authority_granted=0, effect_performed=0, host_read_performed=0, host_write_performed=0, and network_performed=0.</w:t>
      </w:r>
    </w:p>
    <w:p>
      <w:pPr>
        <w:pStyle w:val="BodyTight"/>
      </w:pPr>
      <w:r>
        <w:rPr>
          <w:rFonts w:ascii="Liberation Serif" w:hAnsi="Liberation Serif" w:eastAsia="Liberation Serif"/>
        </w:rPr>
        <w:t>The failure lane should reject null receipts, invalid receipts, unverified receipts, invalid receipt flags, missing digest metadata, missing public-key identity, missing requested capability, unknown capability, missing requested effect, unknown effect, null output, null reports, and tiny report buffers. None of those failures may execute effects, persist policy, contact networks, read or write host files, execute tools, execute shells, enforce capabilities, or grant runtime authority.</w:t>
      </w:r>
    </w:p>
    <w:p>
      <w:pPr>
        <w:pStyle w:val="Heading2"/>
      </w:pPr>
      <w:r>
        <w:t>15.9 Effect decision and handoff validation lanes</w:t>
      </w:r>
    </w:p>
    <w:p>
      <w:pPr>
        <w:pStyle w:val="BodyTight"/>
      </w:pPr>
      <w:r>
        <w:t>The verified effect decision lane should accept only allowed metadata gates and report/evaluate effects. It should prove effect_allowed=1 only when the gate is valid, gate_state=allowed-metadata-only, runtime authority is zero, and no host, network, handoff, or effect has already occurred.</w:t>
      </w:r>
    </w:p>
    <w:p>
      <w:pPr>
        <w:pStyle w:val="BodyTight"/>
      </w:pPr>
      <w:r>
        <w:t>The runtime handoff evaluation and report lanes should accept only metadata-only allowed decisions, then prove handoff_eligible=1 and report_ready=1 without performing handoff or granting authority. Negative cases should cover null inputs, invalid predecessors, unsupported labels, mismatched report requests, prior performed effects, host read/write flags, network flags, tiny report buffers, and runtime_authority_granted=1.</w:t>
      </w:r>
    </w:p>
    <w:p>
      <w:pPr>
        <w:pStyle w:val="Heading2"/>
      </w:pPr>
      <w:r>
        <w:t>15.10 Envelope and signature request validation lanes</w:t>
      </w:r>
    </w:p>
    <w:p>
      <w:pPr>
        <w:pStyle w:val="BodyTight"/>
      </w:pPr>
      <w:r>
        <w:t>The report envelope lane should accept only ready runtime handoff reports and report/evaluate envelope labels, then prove envelope_ready=1 without signing, object sealing, performing handoff, performing effects, reading host state, writing host state, contacting networks, or granting runtime authority.</w:t>
      </w:r>
    </w:p>
    <w:p>
      <w:pPr>
        <w:pStyle w:val="BodyTight"/>
      </w:pPr>
      <w:r>
        <w:t>The signature request lane should accept only ready sealed-report or sealed-evaluate envelope metadata and the Ed25519-development request label, then prove signature_request_ready=1 while signature_performed=0, verification_performed=0, private_key_handling=0, handoff_performed=0, effect_performed=0, runtime_authority_granted=0, and host/network flags remain zero. Negative cases should cover invalid envelopes, missing or unknown signature labels, prior signature/effect/handoff flags, tiny report buffers, and runtime_authority_granted=1.</w:t>
      </w:r>
    </w:p>
    <w:p>
      <w:pPr>
        <w:pStyle w:val="Heading2"/>
      </w:pPr>
      <w:r>
        <w:t>15.11 Latticra Console contract validation lane</w:t>
      </w:r>
    </w:p>
    <w:p>
      <w:pPr>
        <w:pStyle w:val="BodyTight"/>
      </w:pPr>
      <w:r>
        <w:t>The Console validation lane should prove both halves of the contract bundle: the positive presence of reportable metadata and the negative absence of authority. The current evidence target is make latticra-console plus focused checks for host-adapter, receipt-request, payload schema, payload artifact draft, signature-request binding, OS-base, VM-evidence, boundary, help, manpage, installed wrapper, and Panel component metadata.</w:t>
      </w:r>
    </w:p>
    <w:p>
      <w:pPr>
        <w:pStyle w:val="BodyTight"/>
      </w:pPr>
      <w:r>
        <w:t>The no-effect assertions are the important part: command_registry_no_effect=1, host_process_launch_allowed=0, host_adapter_present=0, payload_artifact_present=0, seal_signature_request_present=0, receipt_write_allowed=0, vm_evidence_artifact_present=0, vm_launch_allowed=0, boot_allowed=0, production_os_claim=0, network_authority=0, and runtime_enforcement_authority=0.</w:t>
      </w:r>
    </w:p>
    <w:p>
      <w:pPr>
        <w:pStyle w:val="Heading2"/>
      </w:pPr>
      <w:r>
        <w:t>15.12 Lat pipeline and Runtime Boundary evidence validation</w:t>
      </w:r>
    </w:p>
    <w:p>
      <w:pPr>
        <w:pStyle w:val="BodyTight"/>
      </w:pPr>
      <w:r>
        <w:t>The Lat and Runtime Boundary validation lanes should prove that provenance survives without changing authority. Current evidence targets include sh scripts/test-lat-pipeline-report-refinement.sh, sh scripts/test-lat-pipeline.sh, and sh scripts/test-runtime-boundary.sh.</w:t>
      </w:r>
    </w:p>
    <w:p>
      <w:pPr>
        <w:pStyle w:val="BodyTight"/>
      </w:pPr>
      <w:r>
        <w:t>The important checks are field stability and non-effect preservation: first-clause role/effect/name/operator/value metadata may be copied, while operator evaluation, Lat execution, LIR execution, file I/O, network I/O, host mutation, hardware behavior, boot behavior, and runtime authority stay denied.</w:t>
      </w:r>
    </w:p>
    <w:p>
      <w:pPr>
        <w:pStyle w:val="Heading1"/>
      </w:pPr>
      <w:r>
        <w:rPr>
          <w:rFonts w:ascii="Liberation Serif" w:hAnsi="Liberation Serif"/>
        </w:rPr>
        <w:t>Chapter 16. Roadmap and Research Agenda</w:t>
      </w:r>
    </w:p>
    <w:p>
      <w:pPr>
        <w:pStyle w:val="Lead"/>
      </w:pPr>
      <w:r>
        <w:rPr>
          <w:rFonts w:ascii="Liberation Serif" w:hAnsi="Liberation Serif"/>
        </w:rPr>
        <w:t>The roadmap should grow in disciplined layers. Each phase adds a stronger substrate property without skipping evidence.</w:t>
      </w:r>
    </w:p>
    <w:p>
      <w:pPr>
        <w:pStyle w:val="BodyTight"/>
      </w:pPr>
      <w:r>
        <w:rPr>
          <w:rFonts w:ascii="Liberation Serif" w:hAnsi="Liberation Serif"/>
        </w:rPr>
        <w:t>The original Seal roadmap is a good foundation: documentation baseline, CLI clarity, manifest and lock hardening, report schema, Panel integration, cryptographic strengthening, runtime-boundary handoff, and Fedora/Linux integration research. The whole-project roadmap should use the same layering but apply it across Latticra components.</w:t>
      </w:r>
    </w:p>
    <w:tbl>
      <w:tblPr>
        <w:tblStyle w:val="TableGrid"/>
        <w:tblW w:type="auto" w:w="0"/>
        <w:jc w:val="center"/>
        <w:tblLook w:firstColumn="1" w:firstRow="1" w:lastColumn="0" w:lastRow="0" w:noHBand="0" w:noVBand="1" w:val="04A0"/>
      </w:tblPr>
      <w:tblGrid>
        <w:gridCol w:w="3331"/>
        <w:gridCol w:w="3331"/>
        <w:gridCol w:w="3331"/>
      </w:tblGrid>
      <w:tr>
        <w:tc>
          <w:tcPr>
            <w:tcW w:type="dxa" w:w="2304"/>
            <w:shd w:fill="E2E8F0"/>
            <w:tcMar>
              <w:top w:w="70" w:type="dxa"/>
              <w:start w:w="70" w:type="dxa"/>
              <w:bottom w:w="70" w:type="dxa"/>
              <w:end w:w="70" w:type="dxa"/>
            </w:tcMar>
            <w:vAlign w:val="center"/>
          </w:tcPr>
          <w:p>
            <w:r/>
            <w:r>
              <w:rPr>
                <w:rFonts w:ascii="Liberation Sans" w:hAnsi="Liberation Sans"/>
                <w:b/>
                <w:color w:val="0F172A"/>
                <w:sz w:val="17"/>
              </w:rPr>
              <w:t>Phase</w:t>
            </w:r>
          </w:p>
        </w:tc>
        <w:tc>
          <w:tcPr>
            <w:tcW w:type="dxa" w:w="3096"/>
            <w:shd w:fill="E2E8F0"/>
            <w:tcMar>
              <w:top w:w="70" w:type="dxa"/>
              <w:start w:w="70" w:type="dxa"/>
              <w:bottom w:w="70" w:type="dxa"/>
              <w:end w:w="70" w:type="dxa"/>
            </w:tcMar>
            <w:vAlign w:val="center"/>
          </w:tcPr>
          <w:p>
            <w:r/>
            <w:r>
              <w:rPr>
                <w:rFonts w:ascii="Liberation Sans" w:hAnsi="Liberation Sans"/>
                <w:b/>
                <w:color w:val="0F172A"/>
                <w:sz w:val="17"/>
              </w:rPr>
              <w:t>Goal</w:t>
            </w:r>
          </w:p>
        </w:tc>
        <w:tc>
          <w:tcPr>
            <w:tcW w:type="dxa" w:w="3960"/>
            <w:shd w:fill="E2E8F0"/>
            <w:tcMar>
              <w:top w:w="70" w:type="dxa"/>
              <w:start w:w="70" w:type="dxa"/>
              <w:bottom w:w="70" w:type="dxa"/>
              <w:end w:w="70" w:type="dxa"/>
            </w:tcMar>
            <w:vAlign w:val="center"/>
          </w:tcPr>
          <w:p>
            <w:r/>
            <w:r>
              <w:rPr>
                <w:rFonts w:ascii="Liberation Sans" w:hAnsi="Liberation Sans"/>
                <w:b/>
                <w:color w:val="0F172A"/>
                <w:sz w:val="17"/>
              </w:rPr>
              <w:t>Done when</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1. Documentation baseline</w:t>
            </w:r>
          </w:p>
        </w:tc>
        <w:tc>
          <w:tcPr>
            <w:tcW w:type="dxa" w:w="3096"/>
            <w:tcMar>
              <w:top w:w="60" w:type="dxa"/>
              <w:start w:w="70" w:type="dxa"/>
              <w:bottom w:w="60" w:type="dxa"/>
              <w:end w:w="70" w:type="dxa"/>
            </w:tcMar>
            <w:vAlign w:val="top"/>
          </w:tcPr>
          <w:p>
            <w:pPr>
              <w:spacing w:after="0"/>
            </w:pPr>
            <w:r/>
            <w:r>
              <w:rPr>
                <w:rFonts w:ascii="Liberation Sans" w:hAnsi="Liberation Sans"/>
                <w:color w:val="0F172A"/>
                <w:sz w:val="16"/>
              </w:rPr>
              <w:t>Make the project understandable.</w:t>
            </w:r>
          </w:p>
        </w:tc>
        <w:tc>
          <w:tcPr>
            <w:tcW w:type="dxa" w:w="3960"/>
            <w:tcMar>
              <w:top w:w="60" w:type="dxa"/>
              <w:start w:w="70" w:type="dxa"/>
              <w:bottom w:w="60" w:type="dxa"/>
              <w:end w:w="70" w:type="dxa"/>
            </w:tcMar>
            <w:vAlign w:val="top"/>
          </w:tcPr>
          <w:p>
            <w:pPr>
              <w:spacing w:after="0"/>
            </w:pPr>
            <w:r/>
            <w:r>
              <w:rPr>
                <w:rFonts w:ascii="Liberation Sans" w:hAnsi="Liberation Sans"/>
                <w:color w:val="0F172A"/>
                <w:sz w:val="16"/>
              </w:rPr>
              <w:t>Every component has role, status, non-claims, and command map.</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2. CLI clarity</w:t>
            </w:r>
          </w:p>
        </w:tc>
        <w:tc>
          <w:tcPr>
            <w:tcW w:type="dxa" w:w="3096"/>
            <w:tcMar>
              <w:top w:w="60" w:type="dxa"/>
              <w:start w:w="70" w:type="dxa"/>
              <w:bottom w:w="60" w:type="dxa"/>
              <w:end w:w="70" w:type="dxa"/>
            </w:tcMar>
            <w:vAlign w:val="top"/>
          </w:tcPr>
          <w:p>
            <w:pPr>
              <w:spacing w:after="0"/>
            </w:pPr>
            <w:r/>
            <w:r>
              <w:rPr>
                <w:rFonts w:ascii="Liberation Sans" w:hAnsi="Liberation Sans"/>
                <w:color w:val="0F172A"/>
                <w:sz w:val="16"/>
              </w:rPr>
              <w:t>Make commands predictable.</w:t>
            </w:r>
          </w:p>
        </w:tc>
        <w:tc>
          <w:tcPr>
            <w:tcW w:type="dxa" w:w="3960"/>
            <w:tcMar>
              <w:top w:w="60" w:type="dxa"/>
              <w:start w:w="70" w:type="dxa"/>
              <w:bottom w:w="60" w:type="dxa"/>
              <w:end w:w="70" w:type="dxa"/>
            </w:tcMar>
            <w:vAlign w:val="top"/>
          </w:tcPr>
          <w:p>
            <w:pPr>
              <w:spacing w:after="0"/>
            </w:pPr>
            <w:r/>
            <w:r>
              <w:rPr>
                <w:rFonts w:ascii="Liberation Sans" w:hAnsi="Liberation Sans"/>
                <w:color w:val="0F172A"/>
                <w:sz w:val="16"/>
              </w:rPr>
              <w:t>Read/write/refuse/root/network/PASS/FAIL contracts exist.</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3. Manifest and lock hardening</w:t>
            </w:r>
          </w:p>
        </w:tc>
        <w:tc>
          <w:tcPr>
            <w:tcW w:type="dxa" w:w="3096"/>
            <w:tcMar>
              <w:top w:w="60" w:type="dxa"/>
              <w:start w:w="70" w:type="dxa"/>
              <w:bottom w:w="60" w:type="dxa"/>
              <w:end w:w="70" w:type="dxa"/>
            </w:tcMar>
            <w:vAlign w:val="top"/>
          </w:tcPr>
          <w:p>
            <w:pPr>
              <w:spacing w:after="0"/>
            </w:pPr>
            <w:r/>
            <w:r>
              <w:rPr>
                <w:rFonts w:ascii="Liberation Sans" w:hAnsi="Liberation Sans"/>
                <w:color w:val="0F172A"/>
                <w:sz w:val="16"/>
              </w:rPr>
              <w:t>Make local verification reproducible.</w:t>
            </w:r>
          </w:p>
        </w:tc>
        <w:tc>
          <w:tcPr>
            <w:tcW w:type="dxa" w:w="3960"/>
            <w:tcMar>
              <w:top w:w="60" w:type="dxa"/>
              <w:start w:w="70" w:type="dxa"/>
              <w:bottom w:w="60" w:type="dxa"/>
              <w:end w:w="70" w:type="dxa"/>
            </w:tcMar>
            <w:vAlign w:val="top"/>
          </w:tcPr>
          <w:p>
            <w:pPr>
              <w:spacing w:after="0"/>
            </w:pPr>
            <w:r/>
            <w:r>
              <w:rPr>
                <w:rFonts w:ascii="Liberation Sans" w:hAnsi="Liberation Sans"/>
                <w:color w:val="0F172A"/>
                <w:sz w:val="16"/>
              </w:rPr>
              <w:t>Schema, lock format, update rules, ignored paths, changed output, malformed tests.</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4. Report schema</w:t>
            </w:r>
          </w:p>
        </w:tc>
        <w:tc>
          <w:tcPr>
            <w:tcW w:type="dxa" w:w="3096"/>
            <w:tcMar>
              <w:top w:w="60" w:type="dxa"/>
              <w:start w:w="70" w:type="dxa"/>
              <w:bottom w:w="60" w:type="dxa"/>
              <w:end w:w="70" w:type="dxa"/>
            </w:tcMar>
            <w:vAlign w:val="top"/>
          </w:tcPr>
          <w:p>
            <w:pPr>
              <w:spacing w:after="0"/>
            </w:pPr>
            <w:r/>
            <w:r>
              <w:rPr>
                <w:rFonts w:ascii="Liberation Sans" w:hAnsi="Liberation Sans"/>
                <w:color w:val="0F172A"/>
                <w:sz w:val="16"/>
              </w:rPr>
              <w:t>Make evidence human- and machine-readable.</w:t>
            </w:r>
          </w:p>
        </w:tc>
        <w:tc>
          <w:tcPr>
            <w:tcW w:type="dxa" w:w="3960"/>
            <w:tcMar>
              <w:top w:w="60" w:type="dxa"/>
              <w:start w:w="70" w:type="dxa"/>
              <w:bottom w:w="60" w:type="dxa"/>
              <w:end w:w="70" w:type="dxa"/>
            </w:tcMar>
            <w:vAlign w:val="top"/>
          </w:tcPr>
          <w:p>
            <w:pPr>
              <w:spacing w:after="0"/>
            </w:pPr>
            <w:r/>
            <w:r>
              <w:rPr>
                <w:rFonts w:ascii="Liberation Sans" w:hAnsi="Liberation Sans"/>
                <w:color w:val="0F172A"/>
                <w:sz w:val="16"/>
              </w:rPr>
              <w:t>Required fields, warning/failure classes, stable status values.</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5. Panel integration</w:t>
            </w:r>
          </w:p>
        </w:tc>
        <w:tc>
          <w:tcPr>
            <w:tcW w:type="dxa" w:w="3096"/>
            <w:tcMar>
              <w:top w:w="60" w:type="dxa"/>
              <w:start w:w="70" w:type="dxa"/>
              <w:bottom w:w="60" w:type="dxa"/>
              <w:end w:w="70" w:type="dxa"/>
            </w:tcMar>
            <w:vAlign w:val="top"/>
          </w:tcPr>
          <w:p>
            <w:pPr>
              <w:spacing w:after="0"/>
            </w:pPr>
            <w:r/>
            <w:r>
              <w:rPr>
                <w:rFonts w:ascii="Liberation Sans" w:hAnsi="Liberation Sans"/>
                <w:color w:val="0F172A"/>
                <w:sz w:val="16"/>
              </w:rPr>
              <w:t>Make Seal and installer evidence visible.</w:t>
            </w:r>
          </w:p>
        </w:tc>
        <w:tc>
          <w:tcPr>
            <w:tcW w:type="dxa" w:w="3960"/>
            <w:tcMar>
              <w:top w:w="60" w:type="dxa"/>
              <w:start w:w="70" w:type="dxa"/>
              <w:bottom w:w="60" w:type="dxa"/>
              <w:end w:w="70" w:type="dxa"/>
            </w:tcMar>
            <w:vAlign w:val="top"/>
          </w:tcPr>
          <w:p>
            <w:pPr>
              <w:spacing w:after="0"/>
            </w:pPr>
            <w:r/>
            <w:r>
              <w:rPr>
                <w:rFonts w:ascii="Liberation Sans" w:hAnsi="Liberation Sans"/>
                <w:color w:val="0F172A"/>
                <w:sz w:val="16"/>
              </w:rPr>
              <w:t>Panel exposes report-only scan, plans, receipts, manifest/lock state, no authority escalation.</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6. Cryptographic strengthening</w:t>
            </w:r>
          </w:p>
        </w:tc>
        <w:tc>
          <w:tcPr>
            <w:tcW w:type="dxa" w:w="3096"/>
            <w:tcMar>
              <w:top w:w="60" w:type="dxa"/>
              <w:start w:w="70" w:type="dxa"/>
              <w:bottom w:w="60" w:type="dxa"/>
              <w:end w:w="70" w:type="dxa"/>
            </w:tcMar>
            <w:vAlign w:val="top"/>
          </w:tcPr>
          <w:p>
            <w:pPr>
              <w:spacing w:after="0"/>
            </w:pPr>
            <w:r/>
            <w:r>
              <w:rPr>
                <w:rFonts w:ascii="Liberation Sans" w:hAnsi="Liberation Sans"/>
                <w:color w:val="0F172A"/>
                <w:sz w:val="16"/>
              </w:rPr>
              <w:t>Move from hashes to signed evidence.</w:t>
            </w:r>
          </w:p>
        </w:tc>
        <w:tc>
          <w:tcPr>
            <w:tcW w:type="dxa" w:w="3960"/>
            <w:tcMar>
              <w:top w:w="60" w:type="dxa"/>
              <w:start w:w="70" w:type="dxa"/>
              <w:bottom w:w="60" w:type="dxa"/>
              <w:end w:w="70" w:type="dxa"/>
            </w:tcMar>
            <w:vAlign w:val="top"/>
          </w:tcPr>
          <w:p>
            <w:pPr>
              <w:spacing w:after="0"/>
            </w:pPr>
            <w:r/>
            <w:r>
              <w:rPr>
                <w:rFonts w:ascii="Liberation Sans" w:hAnsi="Liberation Sans"/>
                <w:color w:val="0F172A"/>
                <w:sz w:val="16"/>
              </w:rPr>
              <w:t>Signing model, key handling, trust roots, invalid signature tests.</w:t>
            </w:r>
          </w:p>
        </w:tc>
      </w:tr>
      <w:tr>
        <w:tc>
          <w:tcPr>
            <w:tcW w:type="dxa" w:w="2304"/>
            <w:tcMar>
              <w:top w:w="60" w:type="dxa"/>
              <w:start w:w="70" w:type="dxa"/>
              <w:bottom w:w="60" w:type="dxa"/>
              <w:end w:w="70" w:type="dxa"/>
            </w:tcMar>
            <w:vAlign w:val="top"/>
          </w:tcPr>
          <w:p>
            <w:pPr>
              <w:spacing w:after="0"/>
            </w:pPr>
            <w:r>
              <w:rPr>
                <w:rFonts w:ascii="Liberation Sans" w:hAnsi="Liberation Sans"/>
                <w:sz w:val="16"/>
              </w:rPr>
            </w:r>
            <w:r>
              <w:rPr>
                <w:rFonts w:ascii="Liberation Sans" w:hAnsi="Liberation Sans"/>
                <w:color w:val="0F172A"/>
                <w:sz w:val="16"/>
              </w:rPr>
              <w:t>7. Runtime-boundary handoff</w:t>
            </w:r>
          </w:p>
        </w:tc>
        <w:tc>
          <w:tcPr>
            <w:tcW w:type="dxa" w:w="3096"/>
            <w:tcMar>
              <w:top w:w="60" w:type="dxa"/>
              <w:start w:w="70" w:type="dxa"/>
              <w:bottom w:w="60" w:type="dxa"/>
              <w:end w:w="70" w:type="dxa"/>
            </w:tcMar>
            <w:vAlign w:val="top"/>
          </w:tcPr>
          <w:p>
            <w:pPr>
              <w:spacing w:after="0"/>
            </w:pPr>
            <w:r>
              <w:rPr>
                <w:rFonts w:ascii="Liberation Sans" w:hAnsi="Liberation Sans"/>
                <w:sz w:val="16"/>
              </w:rPr>
            </w:r>
            <w:r>
              <w:rPr>
                <w:rFonts w:ascii="Liberation Sans" w:hAnsi="Liberation Sans"/>
                <w:color w:val="0F172A"/>
                <w:sz w:val="16"/>
              </w:rPr>
              <w:t>Prepare metadata without overclaiming.</w:t>
            </w:r>
          </w:p>
        </w:tc>
        <w:tc>
          <w:tcPr>
            <w:tcW w:type="dxa" w:w="3960"/>
            <w:tcMar>
              <w:top w:w="60" w:type="dxa"/>
              <w:start w:w="70" w:type="dxa"/>
              <w:bottom w:w="60" w:type="dxa"/>
              <w:end w:w="70" w:type="dxa"/>
            </w:tcMar>
            <w:vAlign w:val="top"/>
          </w:tcPr>
          <w:p>
            <w:r>
              <w:rPr>
                <w:rFonts w:ascii="Liberation Sans" w:hAnsi="Liberation Sans"/>
                <w:sz w:val="16"/>
              </w:rPr>
              <w:t>No-effect dry-run handoff, verified capability gate, verified effect decision, handoff/report/envelope/signature-request readiness, and denial tests.</w:t>
            </w:r>
          </w:p>
        </w:tc>
      </w:tr>
      <w:tr>
        <w:tc>
          <w:tcPr>
            <w:tcW w:type="dxa" w:w="2304"/>
            <w:tcMar>
              <w:top w:w="60" w:type="dxa"/>
              <w:start w:w="70" w:type="dxa"/>
              <w:bottom w:w="60" w:type="dxa"/>
              <w:end w:w="70" w:type="dxa"/>
            </w:tcMar>
            <w:vAlign w:val="top"/>
          </w:tcPr>
          <w:p>
            <w:pPr>
              <w:spacing w:after="0"/>
            </w:pPr>
            <w:r/>
            <w:r>
              <w:rPr>
                <w:rFonts w:ascii="Liberation Sans" w:hAnsi="Liberation Sans"/>
                <w:color w:val="0F172A"/>
                <w:sz w:val="16"/>
              </w:rPr>
              <w:t>8. Fedora/Linux integration research</w:t>
            </w:r>
          </w:p>
        </w:tc>
        <w:tc>
          <w:tcPr>
            <w:tcW w:type="dxa" w:w="3096"/>
            <w:tcMar>
              <w:top w:w="60" w:type="dxa"/>
              <w:start w:w="70" w:type="dxa"/>
              <w:bottom w:w="60" w:type="dxa"/>
              <w:end w:w="70" w:type="dxa"/>
            </w:tcMar>
            <w:vAlign w:val="top"/>
          </w:tcPr>
          <w:p>
            <w:pPr>
              <w:spacing w:after="0"/>
            </w:pPr>
            <w:r/>
            <w:r>
              <w:rPr>
                <w:rFonts w:ascii="Liberation Sans" w:hAnsi="Liberation Sans"/>
                <w:color w:val="0F172A"/>
                <w:sz w:val="16"/>
              </w:rPr>
              <w:t>Explore host integration carefully.</w:t>
            </w:r>
          </w:p>
        </w:tc>
        <w:tc>
          <w:tcPr>
            <w:tcW w:type="dxa" w:w="3960"/>
            <w:tcMar>
              <w:top w:w="60" w:type="dxa"/>
              <w:start w:w="70" w:type="dxa"/>
              <w:bottom w:w="60" w:type="dxa"/>
              <w:end w:w="70" w:type="dxa"/>
            </w:tcMar>
            <w:vAlign w:val="top"/>
          </w:tcPr>
          <w:p>
            <w:pPr>
              <w:spacing w:after="0"/>
            </w:pPr>
            <w:r/>
            <w:r>
              <w:rPr>
                <w:rFonts w:ascii="Liberation Sans" w:hAnsi="Liberation Sans"/>
                <w:color w:val="0F172A"/>
                <w:sz w:val="16"/>
              </w:rPr>
              <w:t>User-local evidence, no-root assumptions, RPM boundaries, SELinux/systemd non-claims.</w:t>
            </w:r>
          </w:p>
        </w:tc>
      </w:tr>
      <w:tr>
        <w:tc>
          <w:tcPr>
            <w:tcW w:type="dxa" w:w="3331"/>
          </w:tcPr>
          <w:p>
            <w:r>
              <w:t>9. LC host/receipt/OS promotion gates</w:t>
            </w:r>
          </w:p>
        </w:tc>
        <w:tc>
          <w:tcPr>
            <w:tcW w:type="dxa" w:w="3331"/>
          </w:tcPr>
          <w:p>
            <w:r>
              <w:t>Promote Console planning surfaces only after receipted evidence exists.</w:t>
            </w:r>
          </w:p>
        </w:tc>
        <w:tc>
          <w:tcPr>
            <w:tcW w:type="dxa" w:w="3331"/>
          </w:tcPr>
          <w:p>
            <w:r>
              <w:t>Host adapter, receipt payload, signature request, OS-base, and VM-evidence artifacts each have schemas, tests, receipts, and non-claims before authority widens.</w:t>
            </w:r>
          </w:p>
        </w:tc>
      </w:tr>
      <w:tr>
        <w:tc>
          <w:tcPr>
            <w:tcW w:type="dxa" w:w="3331"/>
          </w:tcPr>
          <w:p>
            <w:r>
              <w:t>10. Lat provenance to runtime-boundary records</w:t>
            </w:r>
          </w:p>
        </w:tc>
        <w:tc>
          <w:tcPr>
            <w:tcW w:type="dxa" w:w="3331"/>
          </w:tcPr>
          <w:p>
            <w:r>
              <w:t>Keep language evidence inspectable before any runtime promotion.</w:t>
            </w:r>
          </w:p>
        </w:tc>
        <w:tc>
          <w:tcPr>
            <w:tcW w:type="dxa" w:w="3331"/>
          </w:tcPr>
          <w:p>
            <w:r>
              <w:t>First-clause, first-declaration, comment, stage, module, and count evidence remain stable across Lat pipeline and Runtime Boundary tests with no execution authority.</w:t>
            </w:r>
          </w:p>
        </w:tc>
      </w:tr>
    </w:tbl>
    <w:p>
      <w:pPr>
        <w:pStyle w:val="BodyTight"/>
      </w:pPr>
    </w:p>
    <w:p>
      <w:pPr>
        <w:pStyle w:val="Heading2"/>
      </w:pPr>
      <w:r>
        <w:rPr>
          <w:rFonts w:ascii="Liberation Serif" w:hAnsi="Liberation Serif"/>
        </w:rPr>
        <w:t>16.1 Research questions</w:t>
      </w:r>
    </w:p>
    <w:p>
      <w:pPr>
        <w:pStyle w:val="ListBullet"/>
        <w:spacing w:after="40"/>
      </w:pPr>
      <w:r>
        <w:rPr>
          <w:rFonts w:ascii="Liberation Serif" w:hAnsi="Liberation Serif"/>
        </w:rPr>
        <w:t>What is the smallest manifest schema that can support useful reproducible evidence?</w:t>
      </w:r>
    </w:p>
    <w:p>
      <w:pPr>
        <w:pStyle w:val="ListBullet"/>
        <w:spacing w:after="40"/>
      </w:pPr>
      <w:r>
        <w:rPr>
          <w:rFonts w:ascii="Liberation Serif" w:hAnsi="Liberation Serif"/>
        </w:rPr>
        <w:t>Can public claim linting be tied directly to the authority vector and test results?</w:t>
      </w:r>
    </w:p>
    <w:p>
      <w:pPr>
        <w:pStyle w:val="ListBullet"/>
        <w:spacing w:after="40"/>
      </w:pPr>
      <w:r>
        <w:rPr>
          <w:rFonts w:ascii="Liberation Serif" w:hAnsi="Liberation Serif"/>
        </w:rPr>
        <w:t>What receipt format is expressive enough for local installs but simple enough for shell tooling?</w:t>
      </w:r>
    </w:p>
    <w:p>
      <w:pPr>
        <w:pStyle w:val="ListBullet"/>
        <w:spacing w:after="40"/>
      </w:pPr>
      <w:r>
        <w:rPr>
          <w:rFonts w:ascii="Liberation Serif" w:hAnsi="Liberation Serif"/>
        </w:rPr>
        <w:t>How should a future trust root be introduced without weakening the current no-claim posture?</w:t>
      </w:r>
    </w:p>
    <w:p>
      <w:pPr>
        <w:pStyle w:val="ListBullet"/>
        <w:spacing w:after="40"/>
      </w:pPr>
      <w:r>
        <w:rPr>
          <w:rFonts w:ascii="Liberation Serif" w:hAnsi="Liberation Serif"/>
        </w:rPr>
        <w:t>What runtime-boundary metadata can be generated today that remains honest about no enforcement?</w:t>
      </w:r>
    </w:p>
    <w:p>
      <w:pPr>
        <w:pStyle w:val="ListBullet"/>
        <w:spacing w:after="40"/>
      </w:pPr>
      <w:r>
        <w:rPr>
          <w:rFonts w:ascii="Liberation Serif" w:hAnsi="Liberation Serif"/>
        </w:rPr>
        <w:t>Can Panel UX make authority boundaries intuitive without hiding the formal model?</w:t>
      </w:r>
    </w:p>
    <w:p>
      <w:pPr>
        <w:pStyle w:val="Heading2"/>
      </w:pPr>
      <w:r>
        <w:rPr>
          <w:rFonts w:ascii="Liberation Serif" w:hAnsi="Liberation Serif"/>
        </w:rPr>
        <w:t>16.2 The long-term shape</w:t>
      </w:r>
    </w:p>
    <w:p>
      <w:pPr>
        <w:pStyle w:val="BodyTight"/>
      </w:pPr>
      <w:r>
        <w:rPr>
          <w:rFonts w:ascii="Liberation Serif" w:hAnsi="Liberation Serif"/>
        </w:rPr>
        <w:t>The long-term Latticra system should be a substrate where every artifact is typed by its effects, every security-relevant action leaves a witness, every public claim is checked against evidence, and every future authority upgrade passes through a capability gate. That is a meaningful contribution to modern security even before it becomes a production enforcement system.</w:t>
      </w:r>
    </w:p>
    <w:p>
      <w:r>
        <w:rPr>
          <w:rFonts w:ascii="Liberation Serif" w:hAnsi="Liberation Serif"/>
        </w:rPr>
        <w:br w:type="page"/>
      </w:r>
    </w:p>
    <w:p>
      <w:pPr>
        <w:pStyle w:val="Heading1"/>
        <w:jc w:val="center"/>
      </w:pPr>
      <w:r>
        <w:rPr>
          <w:rFonts w:ascii="Liberation Serif" w:hAnsi="Liberation Serif"/>
          <w:sz w:val="40"/>
        </w:rPr>
        <w:t>Appendices</w:t>
      </w:r>
    </w:p>
    <w:p>
      <w:pPr>
        <w:pStyle w:val="Lead"/>
        <w:jc w:val="center"/>
      </w:pPr>
      <w:r>
        <w:rPr>
          <w:rFonts w:ascii="Liberation Serif" w:hAnsi="Liberation Serif"/>
        </w:rPr>
        <w:t>Reference material for developers, reviewers, and project writers.</w:t>
      </w:r>
    </w:p>
    <w:p>
      <w:r>
        <w:rPr>
          <w:rFonts w:ascii="Liberation Serif" w:hAnsi="Liberation Serif"/>
        </w:rPr>
        <w:br w:type="page"/>
      </w:r>
    </w:p>
    <w:p>
      <w:pPr>
        <w:pStyle w:val="Heading1"/>
      </w:pPr>
      <w:r>
        <w:rPr>
          <w:rFonts w:ascii="Liberation Serif" w:hAnsi="Liberation Serif"/>
        </w:rPr>
        <w:t>Appendix A. Glossary</w:t>
      </w:r>
    </w:p>
    <w:p>
      <w:pPr>
        <w:pStyle w:val="Lead"/>
      </w:pPr>
      <w:r>
        <w:rPr>
          <w:rFonts w:ascii="Liberation Serif" w:hAnsi="Liberation Serif"/>
        </w:rPr>
        <w:t>A compact vocabulary for the Latticra substrate.</w:t>
      </w:r>
    </w:p>
    <w:tbl>
      <w:tblPr>
        <w:tblStyle w:val="TableGrid"/>
        <w:tblW w:type="auto" w:w="0"/>
        <w:jc w:val="center"/>
        <w:tblLook w:firstColumn="1" w:firstRow="1" w:lastColumn="0" w:lastRow="0" w:noHBand="0" w:noVBand="1" w:val="04A0"/>
      </w:tblPr>
      <w:tblGrid>
        <w:gridCol w:w="4997"/>
        <w:gridCol w:w="4997"/>
      </w:tblGrid>
      <w:tr>
        <w:tc>
          <w:tcPr>
            <w:tcW w:type="dxa" w:w="2304"/>
            <w:shd w:fill="E2E8F0"/>
            <w:tcMar>
              <w:top w:w="70" w:type="dxa"/>
              <w:start w:w="70" w:type="dxa"/>
              <w:bottom w:w="70" w:type="dxa"/>
              <w:end w:w="70" w:type="dxa"/>
            </w:tcMar>
            <w:vAlign w:val="center"/>
          </w:tcPr>
          <w:p>
            <w:r/>
            <w:r>
              <w:rPr>
                <w:rFonts w:ascii="Liberation Sans" w:hAnsi="Liberation Sans"/>
                <w:b/>
                <w:color w:val="0F172A"/>
                <w:sz w:val="17"/>
              </w:rPr>
              <w:t>Term</w:t>
            </w:r>
          </w:p>
        </w:tc>
        <w:tc>
          <w:tcPr>
            <w:tcW w:type="dxa" w:w="7200"/>
            <w:shd w:fill="E2E8F0"/>
            <w:tcMar>
              <w:top w:w="70" w:type="dxa"/>
              <w:start w:w="70" w:type="dxa"/>
              <w:bottom w:w="70" w:type="dxa"/>
              <w:end w:w="70" w:type="dxa"/>
            </w:tcMar>
            <w:vAlign w:val="center"/>
          </w:tcPr>
          <w:p>
            <w:r/>
            <w:r>
              <w:rPr>
                <w:rFonts w:ascii="Liberation Sans" w:hAnsi="Liberation Sans"/>
                <w:b/>
                <w:color w:val="0F172A"/>
                <w:sz w:val="17"/>
              </w:rPr>
              <w:t>Meaning</w:t>
            </w:r>
          </w:p>
        </w:tc>
      </w:tr>
      <w:tr>
        <w:tc>
          <w:tcPr>
            <w:tcW w:type="dxa" w:w="230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Authority vector</w:t>
            </w:r>
          </w:p>
        </w:tc>
        <w:tc>
          <w:tcPr>
            <w:tcW w:type="dxa" w:w="7200"/>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A structured record of which powers a command or lane has or explicitly lacks.</w:t>
            </w:r>
          </w:p>
        </w:tc>
      </w:tr>
      <w:tr>
        <w:tc>
          <w:tcPr>
            <w:tcW w:type="dxa" w:w="230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Boundary</w:t>
            </w:r>
          </w:p>
        </w:tc>
        <w:tc>
          <w:tcPr>
            <w:tcW w:type="dxa" w:w="7200"/>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A limit on scope, authority, or claim strength.</w:t>
            </w:r>
          </w:p>
        </w:tc>
      </w:tr>
      <w:tr>
        <w:tc>
          <w:tcPr>
            <w:tcW w:type="dxa" w:w="230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Claim ledger</w:t>
            </w:r>
          </w:p>
        </w:tc>
        <w:tc>
          <w:tcPr>
            <w:tcW w:type="dxa" w:w="7200"/>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The project record of what is implemented, evidenced, planned, or forbidden to claim.</w:t>
            </w:r>
          </w:p>
        </w:tc>
      </w:tr>
      <w:tr>
        <w:tc>
          <w:tcPr>
            <w:tcW w:type="dxa" w:w="230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Effect</w:t>
            </w:r>
          </w:p>
        </w:tc>
        <w:tc>
          <w:tcPr>
            <w:tcW w:type="dxa" w:w="7200"/>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An observable action such as reading, writing, installing, networking, or enforcing.</w:t>
            </w:r>
          </w:p>
        </w:tc>
      </w:tr>
      <w:tr>
        <w:tc>
          <w:tcPr>
            <w:tcW w:type="dxa" w:w="230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Evidence-bound</w:t>
            </w:r>
          </w:p>
        </w:tc>
        <w:tc>
          <w:tcPr>
            <w:tcW w:type="dxa" w:w="7200"/>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Constrained by reproducible evidence and tests.</w:t>
            </w:r>
          </w:p>
        </w:tc>
      </w:tr>
      <w:tr>
        <w:tc>
          <w:tcPr>
            <w:tcW w:type="dxa" w:w="230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Fail closed</w:t>
            </w:r>
          </w:p>
        </w:tc>
        <w:tc>
          <w:tcPr>
            <w:tcW w:type="dxa" w:w="7200"/>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Reject unsafe, malformed, unsupported, or contradictory input instead of guessing.</w:t>
            </w:r>
          </w:p>
        </w:tc>
      </w:tr>
      <w:tr>
        <w:tc>
          <w:tcPr>
            <w:tcW w:type="dxa" w:w="230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Manifest</w:t>
            </w:r>
          </w:p>
        </w:tc>
        <w:tc>
          <w:tcPr>
            <w:tcW w:type="dxa" w:w="7200"/>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A declaration of inspection scope and policy expectations.</w:t>
            </w:r>
          </w:p>
        </w:tc>
      </w:tr>
      <w:tr>
        <w:tc>
          <w:tcPr>
            <w:tcW w:type="dxa" w:w="230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Receipt</w:t>
            </w:r>
          </w:p>
        </w:tc>
        <w:tc>
          <w:tcPr>
            <w:tcW w:type="dxa" w:w="7200"/>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A witness for an operator action or installer effect.</w:t>
            </w:r>
          </w:p>
        </w:tc>
      </w:tr>
      <w:tr>
        <w:tc>
          <w:tcPr>
            <w:tcW w:type="dxa" w:w="230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Report-only</w:t>
            </w:r>
          </w:p>
        </w:tc>
        <w:tc>
          <w:tcPr>
            <w:tcW w:type="dxa" w:w="7200"/>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A mode that inspects and describes local state without runtime enforcement.</w:t>
            </w:r>
          </w:p>
        </w:tc>
      </w:tr>
      <w:tr>
        <w:tc>
          <w:tcPr>
            <w:tcW w:type="dxa" w:w="230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Runtime handoff</w:t>
            </w:r>
          </w:p>
        </w:tc>
        <w:tc>
          <w:tcPr>
            <w:tcW w:type="dxa" w:w="7200"/>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Future metadata path for enforcement decisions, not current enforcement.</w:t>
            </w:r>
          </w:p>
        </w:tc>
      </w:tr>
      <w:tr>
        <w:tc>
          <w:tcPr>
            <w:tcW w:type="dxa" w:w="230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Seal</w:t>
            </w:r>
          </w:p>
        </w:tc>
        <w:tc>
          <w:tcPr>
            <w:tcW w:type="dxa" w:w="7200"/>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The Latticra evidence, reporting, and policy-boundary layer.</w:t>
            </w:r>
          </w:p>
        </w:tc>
      </w:tr>
      <w:tr>
        <w:tc>
          <w:tcPr>
            <w:tcW w:type="dxa" w:w="230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Substrate</w:t>
            </w:r>
          </w:p>
        </w:tc>
        <w:tc>
          <w:tcPr>
            <w:tcW w:type="dxa" w:w="7200"/>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A foundational layer of state, policy, evidence, and authority relations.</w:t>
            </w:r>
          </w:p>
        </w:tc>
      </w:tr>
      <w:tr>
        <w:tc>
          <w:tcPr>
            <w:tcW w:type="dxa" w:w="4997"/>
          </w:tcPr>
          <w:p>
            <w:pPr>
              <w:spacing w:before="0" w:after="0" w:line="240" w:lineRule="auto"/>
            </w:pPr>
            <w:r>
              <w:rPr>
                <w:rFonts w:ascii="Liberation Sans" w:hAnsi="Liberation Sans" w:eastAsia="Liberation Sans"/>
                <w:sz w:val="16"/>
              </w:rPr>
              <w:t>Verification receipt</w:t>
            </w:r>
          </w:p>
        </w:tc>
        <w:tc>
          <w:tcPr>
            <w:tcW w:type="dxa" w:w="4997"/>
          </w:tcPr>
          <w:p>
            <w:pPr>
              <w:spacing w:before="0" w:after="0" w:line="240" w:lineRule="auto"/>
            </w:pPr>
            <w:r>
              <w:rPr>
                <w:rFonts w:ascii="Liberation Sans" w:hAnsi="Liberation Sans" w:eastAsia="Liberation Sans"/>
                <w:sz w:val="16"/>
              </w:rPr>
              <w:t>A witness record for verification metadata; not authority unless later cryptographic verification and gate policy are implemented and tested.</w:t>
            </w:r>
          </w:p>
        </w:tc>
      </w:tr>
      <w:tr>
        <w:tc>
          <w:tcPr>
            <w:tcW w:type="dxa" w:w="4997"/>
          </w:tcPr>
          <w:p>
            <w:pPr>
              <w:spacing w:before="0" w:after="0" w:line="240" w:lineRule="auto"/>
            </w:pPr>
            <w:r>
              <w:rPr>
                <w:rFonts w:ascii="Liberation Sans" w:hAnsi="Liberation Sans" w:eastAsia="Liberation Sans"/>
                <w:sz w:val="16"/>
              </w:rPr>
              <w:t>Capability gate</w:t>
            </w:r>
          </w:p>
        </w:tc>
        <w:tc>
          <w:tcPr>
            <w:tcW w:type="dxa" w:w="4997"/>
          </w:tcPr>
          <w:p>
            <w:pPr>
              <w:spacing w:before="0" w:after="0" w:line="240" w:lineRule="auto"/>
            </w:pPr>
            <w:r>
              <w:rPr>
                <w:rFonts w:ascii="Liberation Sans" w:hAnsi="Liberation Sans" w:eastAsia="Liberation Sans"/>
                <w:sz w:val="16"/>
              </w:rPr>
              <w:t>A boundary record that may later decide whether a verified receipt can request a capability; currently denied for unverified metadata.</w:t>
            </w:r>
          </w:p>
        </w:tc>
      </w:tr>
      <w:tr>
        <w:tc>
          <w:tcPr>
            <w:tcW w:type="dxa" w:w="4997"/>
          </w:tcPr>
          <w:p>
            <w:pPr>
              <w:spacing w:before="0" w:after="0" w:line="240" w:lineRule="auto"/>
            </w:pPr>
            <w:r>
              <w:rPr>
                <w:rFonts w:ascii="Liberation Sans" w:hAnsi="Liberation Sans" w:eastAsia="Liberation Sans"/>
                <w:sz w:val="16"/>
              </w:rPr>
              <w:t>Effect decision</w:t>
            </w:r>
          </w:p>
        </w:tc>
        <w:tc>
          <w:tcPr>
            <w:tcW w:type="dxa" w:w="4997"/>
          </w:tcPr>
          <w:p>
            <w:pPr>
              <w:spacing w:before="0" w:after="0" w:line="240" w:lineRule="auto"/>
            </w:pPr>
            <w:r>
              <w:rPr>
                <w:rFonts w:ascii="Liberation Sans" w:hAnsi="Liberation Sans" w:eastAsia="Liberation Sans"/>
                <w:sz w:val="16"/>
              </w:rPr>
              <w:t>A record that separates an allowed gate from any actual host, network, runtime, or tool effect.</w:t>
            </w:r>
          </w:p>
        </w:tc>
      </w:tr>
      <w:tr>
        <w:tc>
          <w:tcPr>
            <w:tcW w:type="dxa" w:w="4997"/>
          </w:tcPr>
          <w:p>
            <w:pPr>
              <w:spacing w:before="0" w:after="0" w:line="240" w:lineRule="auto"/>
            </w:pPr>
            <w:r>
              <w:rPr>
                <w:rFonts w:ascii="Liberation Sans" w:hAnsi="Liberation Sans" w:eastAsia="Liberation Sans"/>
                <w:sz w:val="16"/>
              </w:rPr>
              <w:t>Verify-only result</w:t>
            </w:r>
          </w:p>
        </w:tc>
        <w:tc>
          <w:tcPr>
            <w:tcW w:type="dxa" w:w="4997"/>
          </w:tcPr>
          <w:p>
            <w:pPr>
              <w:spacing w:before="0" w:after="0" w:line="240" w:lineRule="auto"/>
            </w:pPr>
            <w:r>
              <w:rPr>
                <w:rFonts w:ascii="Liberation Sans" w:hAnsi="Liberation Sans" w:eastAsia="Liberation Sans"/>
                <w:sz w:val="16"/>
              </w:rPr>
              <w:t>A local cryptographic verification result for caller-supplied bytes that remains separate from signing, trust, capability, and effects.</w:t>
            </w:r>
          </w:p>
        </w:tc>
      </w:tr>
      <w:tr>
        <w:tc>
          <w:tcPr>
            <w:tcW w:type="dxa" w:w="4997"/>
          </w:tcPr>
          <w:p>
            <w:pPr>
              <w:spacing w:before="0" w:after="0" w:line="240" w:lineRule="auto"/>
            </w:pPr>
            <w:r>
              <w:rPr>
                <w:rFonts w:ascii="Liberation Sans" w:hAnsi="Liberation Sans" w:eastAsia="Liberation Sans"/>
                <w:sz w:val="16"/>
              </w:rPr>
              <w:t>Evidence promotion</w:t>
            </w:r>
          </w:p>
        </w:tc>
        <w:tc>
          <w:tcPr>
            <w:tcW w:type="dxa" w:w="4997"/>
          </w:tcPr>
          <w:p>
            <w:pPr>
              <w:spacing w:before="0" w:after="0" w:line="240" w:lineRule="auto"/>
            </w:pPr>
            <w:r>
              <w:rPr>
                <w:rFonts w:ascii="Liberation Sans" w:hAnsi="Liberation Sans" w:eastAsia="Liberation Sans"/>
                <w:sz w:val="16"/>
              </w:rPr>
              <w:t>A transition that strengthens a witness record, such as from a verified result to a verified receipt, without granting authority.</w:t>
            </w:r>
          </w:p>
        </w:tc>
      </w:tr>
      <w:tr>
        <w:tc>
          <w:tcPr>
            <w:tcW w:type="dxa" w:w="4997"/>
          </w:tcPr>
          <w:p>
            <w:pPr>
              <w:spacing w:before="0" w:after="0" w:line="240" w:lineRule="auto"/>
            </w:pPr>
            <w:r>
              <w:rPr>
                <w:rFonts w:ascii="Liberation Sans" w:hAnsi="Liberation Sans" w:eastAsia="Liberation Sans"/>
                <w:sz w:val="16"/>
              </w:rPr>
              <w:t>Metadata gate</w:t>
            </w:r>
          </w:p>
        </w:tc>
        <w:tc>
          <w:tcPr>
            <w:tcW w:type="dxa" w:w="4997"/>
          </w:tcPr>
          <w:p>
            <w:pPr>
              <w:spacing w:before="0" w:after="0" w:line="240" w:lineRule="auto"/>
            </w:pPr>
            <w:r>
              <w:rPr>
                <w:rFonts w:ascii="Liberation Sans" w:hAnsi="Liberation Sans" w:eastAsia="Liberation Sans"/>
                <w:sz w:val="16"/>
              </w:rPr>
              <w:t>A policy evaluation record that can allow metadata-only inspection or reporting without performing an effect.</w:t>
            </w:r>
          </w:p>
        </w:tc>
      </w:tr>
      <w:tr>
        <w:tc>
          <w:tcPr>
            <w:tcW w:type="dxa" w:w="4997"/>
          </w:tcPr>
          <w:p>
            <w:r>
              <w:rPr>
                <w:rFonts w:ascii="Liberation Sans" w:hAnsi="Liberation Sans"/>
                <w:sz w:val="16"/>
              </w:rPr>
              <w:t>Verified effect decision</w:t>
            </w:r>
          </w:p>
        </w:tc>
        <w:tc>
          <w:tcPr>
            <w:tcW w:type="dxa" w:w="4997"/>
          </w:tcPr>
          <w:p>
            <w:r>
              <w:rPr>
                <w:rFonts w:ascii="Liberation Sans" w:hAnsi="Liberation Sans"/>
                <w:sz w:val="16"/>
              </w:rPr>
              <w:t>A metadata-only classification that may set effect_allowed=1 for report/evaluate requests while keeping effect_performed=0.</w:t>
            </w:r>
          </w:p>
        </w:tc>
      </w:tr>
      <w:tr>
        <w:tc>
          <w:tcPr>
            <w:tcW w:type="dxa" w:w="4997"/>
          </w:tcPr>
          <w:p>
            <w:r>
              <w:rPr>
                <w:rFonts w:ascii="Liberation Sans" w:hAnsi="Liberation Sans"/>
                <w:sz w:val="16"/>
              </w:rPr>
              <w:t>Handoff eligibility</w:t>
            </w:r>
          </w:p>
        </w:tc>
        <w:tc>
          <w:tcPr>
            <w:tcW w:type="dxa" w:w="4997"/>
          </w:tcPr>
          <w:p>
            <w:r>
              <w:rPr>
                <w:rFonts w:ascii="Liberation Sans" w:hAnsi="Liberation Sans"/>
                <w:sz w:val="16"/>
              </w:rPr>
              <w:t>A metadata-only runtime-boundary classification that may set handoff_eligible=1 without performing a handoff.</w:t>
            </w:r>
          </w:p>
        </w:tc>
      </w:tr>
      <w:tr>
        <w:tc>
          <w:tcPr>
            <w:tcW w:type="dxa" w:w="4997"/>
          </w:tcPr>
          <w:p>
            <w:r>
              <w:rPr>
                <w:rFonts w:ascii="Liberation Sans" w:hAnsi="Liberation Sans"/>
                <w:sz w:val="16"/>
              </w:rPr>
              <w:t>Report readiness</w:t>
            </w:r>
          </w:p>
        </w:tc>
        <w:tc>
          <w:tcPr>
            <w:tcW w:type="dxa" w:w="4997"/>
          </w:tcPr>
          <w:p>
            <w:r>
              <w:rPr>
                <w:rFonts w:ascii="Liberation Sans" w:hAnsi="Liberation Sans"/>
                <w:sz w:val="16"/>
              </w:rPr>
              <w:t>A metadata-only report classification that may set report_ready=1 without runtime authority or host/network behavior.</w:t>
            </w:r>
          </w:p>
        </w:tc>
      </w:tr>
      <w:tr>
        <w:tc>
          <w:tcPr>
            <w:tcW w:type="dxa" w:w="4997"/>
          </w:tcPr>
          <w:p>
            <w:r>
              <w:rPr>
                <w:rFonts w:ascii="Liberation Sans" w:hAnsi="Liberation Sans"/>
                <w:sz w:val="16"/>
              </w:rPr>
              <w:t>Report envelope</w:t>
            </w:r>
          </w:p>
        </w:tc>
        <w:tc>
          <w:tcPr>
            <w:tcW w:type="dxa" w:w="4997"/>
          </w:tcPr>
          <w:p>
            <w:r>
              <w:rPr>
                <w:rFonts w:ascii="Liberation Sans" w:hAnsi="Liberation Sans"/>
                <w:sz w:val="16"/>
              </w:rPr>
              <w:t>A deterministic metadata envelope around ready report metadata; currently unsigned and object-unsealed.</w:t>
            </w:r>
          </w:p>
        </w:tc>
      </w:tr>
      <w:tr>
        <w:tc>
          <w:tcPr>
            <w:tcW w:type="dxa" w:w="4997"/>
          </w:tcPr>
          <w:p>
            <w:r>
              <w:rPr>
                <w:rFonts w:ascii="Liberation Sans" w:hAnsi="Liberation Sans"/>
                <w:sz w:val="16"/>
              </w:rPr>
              <w:t>Signature request</w:t>
            </w:r>
          </w:p>
        </w:tc>
        <w:tc>
          <w:tcPr>
            <w:tcW w:type="dxa" w:w="4997"/>
          </w:tcPr>
          <w:p>
            <w:r>
              <w:rPr>
                <w:rFonts w:ascii="Liberation Sans" w:hAnsi="Liberation Sans"/>
                <w:sz w:val="16"/>
              </w:rPr>
              <w:t>A metadata-only request for a future signing path that does not sign, verify, handle keys, or grant authority.</w:t>
            </w:r>
          </w:p>
        </w:tc>
      </w:tr>
      <w:tr>
        <w:tc>
          <w:tcPr>
            <w:tcW w:type="dxa" w:w="4997"/>
          </w:tcPr>
          <w:p>
            <w:r>
              <w:t>Host-adapter contract</w:t>
            </w:r>
          </w:p>
        </w:tc>
        <w:tc>
          <w:tcPr>
            <w:tcW w:type="dxa" w:w="4997"/>
          </w:tcPr>
          <w:p>
            <w:r>
              <w:t>A metadata-only LC record naming the future host embedding adapter preconditions while preserving host_adapter_present=0 and denying host authority.</w:t>
            </w:r>
          </w:p>
        </w:tc>
      </w:tr>
      <w:tr>
        <w:tc>
          <w:tcPr>
            <w:tcW w:type="dxa" w:w="4997"/>
          </w:tcPr>
          <w:p>
            <w:r>
              <w:t>Receipt request contract</w:t>
            </w:r>
          </w:p>
        </w:tc>
        <w:tc>
          <w:tcPr>
            <w:tcW w:type="dxa" w:w="4997"/>
          </w:tcPr>
          <w:p>
            <w:r>
              <w:t>A metadata-only LC record that asks for a future Seal receipt path without materializing a payload, writing a receipt, signing, or verifying.</w:t>
            </w:r>
          </w:p>
        </w:tc>
      </w:tr>
      <w:tr>
        <w:tc>
          <w:tcPr>
            <w:tcW w:type="dxa" w:w="4997"/>
          </w:tcPr>
          <w:p>
            <w:r>
              <w:t>OS-base planning contract</w:t>
            </w:r>
          </w:p>
        </w:tc>
        <w:tc>
          <w:tcPr>
            <w:tcW w:type="dxa" w:w="4997"/>
          </w:tcPr>
          <w:p>
            <w:r>
              <w:t>A metadata-only LC record naming future OS-base evidence obligations while denying boot, kernel, hardware, host, network, and runtime authority.</w:t>
            </w:r>
          </w:p>
        </w:tc>
      </w:tr>
      <w:tr>
        <w:tc>
          <w:tcPr>
            <w:tcW w:type="dxa" w:w="4997"/>
          </w:tcPr>
          <w:p>
            <w:r>
              <w:t>VM evidence contract</w:t>
            </w:r>
          </w:p>
        </w:tc>
        <w:tc>
          <w:tcPr>
            <w:tcW w:type="dxa" w:w="4997"/>
          </w:tcPr>
          <w:p>
            <w:r>
              <w:t>A metadata-only LC record naming future VM evidence obligations while denying VM launch, hypervisor access, disk-image mutation, guest networking, host mutation, and boot authority.</w:t>
            </w:r>
          </w:p>
        </w:tc>
      </w:tr>
      <w:tr>
        <w:tc>
          <w:tcPr>
            <w:tcW w:type="dxa" w:w="4997"/>
          </w:tcPr>
          <w:p>
            <w:r>
              <w:t>Clause evidence</w:t>
            </w:r>
          </w:p>
        </w:tc>
        <w:tc>
          <w:tcPr>
            <w:tcW w:type="dxa" w:w="4997"/>
          </w:tcPr>
          <w:p>
            <w:r>
              <w:t>Copied Lat clause metadata such as role, effect label, name, operator, value, and node index; useful for audit but not operator evaluation or authority.</w:t>
            </w:r>
          </w:p>
        </w:tc>
      </w:tr>
      <w:tr>
        <w:tc>
          <w:tcPr>
            <w:tcW w:type="dxa" w:w="4997"/>
          </w:tcPr>
          <w:p>
            <w:r>
              <w:t>Provenance field</w:t>
            </w:r>
          </w:p>
        </w:tc>
        <w:tc>
          <w:tcPr>
            <w:tcW w:type="dxa" w:w="4997"/>
          </w:tcPr>
          <w:p>
            <w:r>
              <w:t>A schema field that records where evidence came from or how it was classified without changing the allowed effect state.</w:t>
            </w:r>
          </w:p>
        </w:tc>
      </w:tr>
    </w:tbl>
    <w:p>
      <w:pPr>
        <w:pStyle w:val="BodyTight"/>
      </w:pPr>
    </w:p>
    <w:p>
      <w:pPr>
        <w:pStyle w:val="Heading1"/>
      </w:pPr>
      <w:r>
        <w:rPr>
          <w:rFonts w:ascii="Liberation Serif" w:hAnsi="Liberation Serif"/>
        </w:rPr>
        <w:t>Appendix B. Reviewer Checklists</w:t>
      </w:r>
    </w:p>
    <w:p>
      <w:pPr>
        <w:pStyle w:val="Lead"/>
      </w:pPr>
      <w:r>
        <w:rPr>
          <w:rFonts w:ascii="Liberation Serif" w:hAnsi="Liberation Serif"/>
        </w:rPr>
        <w:t>Use these checklists when reviewing pull requests, release notes, or public project pages.</w:t>
      </w:r>
    </w:p>
    <w:p>
      <w:pPr>
        <w:pStyle w:val="Heading2"/>
      </w:pPr>
      <w:r>
        <w:rPr>
          <w:rFonts w:ascii="Liberation Serif" w:hAnsi="Liberation Serif"/>
        </w:rPr>
        <w:t>B.1 Documentation checklist</w:t>
      </w:r>
    </w:p>
    <w:p>
      <w:pPr>
        <w:pStyle w:val="ListBullet"/>
        <w:spacing w:after="40"/>
      </w:pPr>
      <w:r>
        <w:rPr>
          <w:rFonts w:ascii="Liberation Serif" w:hAnsi="Liberation Serif"/>
        </w:rPr>
        <w:t>Does the text distinguish evidence from enforcement?</w:t>
      </w:r>
    </w:p>
    <w:p>
      <w:pPr>
        <w:pStyle w:val="ListBullet"/>
        <w:spacing w:after="40"/>
      </w:pPr>
      <w:r>
        <w:rPr>
          <w:rFonts w:ascii="Liberation Serif" w:hAnsi="Liberation Serif"/>
        </w:rPr>
        <w:t>Does it preserve current non-claims around root, network, runtime, kernel, systemd, SELinux, and production readiness?</w:t>
      </w:r>
    </w:p>
    <w:p>
      <w:pPr>
        <w:pStyle w:val="ListBullet"/>
        <w:spacing w:after="40"/>
      </w:pPr>
      <w:r>
        <w:rPr>
          <w:rFonts w:ascii="Liberation Serif" w:hAnsi="Liberation Serif"/>
        </w:rPr>
        <w:t>Does every command document read/write/refuse behavior?</w:t>
      </w:r>
    </w:p>
    <w:p>
      <w:pPr>
        <w:pStyle w:val="ListBullet"/>
        <w:spacing w:after="40"/>
      </w:pPr>
      <w:r>
        <w:rPr>
          <w:rFonts w:ascii="Liberation Serif" w:hAnsi="Liberation Serif"/>
        </w:rPr>
        <w:t>Are PASS and FAIL meanings bounded and precise?</w:t>
      </w:r>
    </w:p>
    <w:p>
      <w:pPr>
        <w:pStyle w:val="ListBullet"/>
        <w:spacing w:after="40"/>
      </w:pPr>
      <w:r>
        <w:rPr>
          <w:rFonts w:ascii="Liberation Serif" w:hAnsi="Liberation Serif"/>
        </w:rPr>
        <w:t>Are future features labeled as future work rather than current behavior?</w:t>
      </w:r>
    </w:p>
    <w:p>
      <w:pPr>
        <w:pStyle w:val="Heading2"/>
      </w:pPr>
      <w:r>
        <w:rPr>
          <w:rFonts w:ascii="Liberation Serif" w:hAnsi="Liberation Serif"/>
        </w:rPr>
        <w:t>B.2 Implementation checklist</w:t>
      </w:r>
    </w:p>
    <w:p>
      <w:pPr>
        <w:pStyle w:val="ListBullet"/>
        <w:spacing w:after="40"/>
      </w:pPr>
      <w:r>
        <w:rPr>
          <w:rFonts w:ascii="Liberation Serif" w:hAnsi="Liberation Serif"/>
        </w:rPr>
        <w:t>Does the code normalize paths before comparing scope?</w:t>
      </w:r>
    </w:p>
    <w:p>
      <w:pPr>
        <w:pStyle w:val="ListBullet"/>
        <w:spacing w:after="40"/>
      </w:pPr>
      <w:r>
        <w:rPr>
          <w:rFonts w:ascii="Liberation Serif" w:hAnsi="Liberation Serif"/>
        </w:rPr>
        <w:t>Does malformed policy fail closed?</w:t>
      </w:r>
    </w:p>
    <w:p>
      <w:pPr>
        <w:pStyle w:val="ListBullet"/>
        <w:spacing w:after="40"/>
      </w:pPr>
      <w:r>
        <w:rPr>
          <w:rFonts w:ascii="Liberation Serif" w:hAnsi="Liberation Serif"/>
        </w:rPr>
        <w:t>Does a report or receipt include authority flags even when all are zero?</w:t>
      </w:r>
    </w:p>
    <w:p>
      <w:pPr>
        <w:pStyle w:val="ListBullet"/>
        <w:spacing w:after="40"/>
      </w:pPr>
      <w:r>
        <w:rPr>
          <w:rFonts w:ascii="Liberation Serif" w:hAnsi="Liberation Serif"/>
        </w:rPr>
        <w:t>Does a dry-run avoid host mutation?</w:t>
      </w:r>
    </w:p>
    <w:p>
      <w:pPr>
        <w:pStyle w:val="ListBullet"/>
        <w:spacing w:after="40"/>
      </w:pPr>
      <w:r>
        <w:rPr>
          <w:rFonts w:ascii="Liberation Serif" w:hAnsi="Liberation Serif"/>
        </w:rPr>
        <w:t>Does a local install stay inside the guarded prefix?</w:t>
      </w:r>
    </w:p>
    <w:p>
      <w:pPr>
        <w:pStyle w:val="ListBullet"/>
        <w:spacing w:after="40"/>
      </w:pPr>
      <w:r>
        <w:rPr>
          <w:rFonts w:ascii="Liberation Serif" w:hAnsi="Liberation Serif"/>
        </w:rPr>
        <w:t>Are denial reasons stable enough for regression tests?</w:t>
      </w:r>
    </w:p>
    <w:p>
      <w:pPr>
        <w:pStyle w:val="Heading2"/>
      </w:pPr>
      <w:r>
        <w:rPr>
          <w:rFonts w:ascii="Liberation Serif" w:hAnsi="Liberation Serif"/>
        </w:rPr>
        <w:t>B.3 Panel UX checklist</w:t>
      </w:r>
    </w:p>
    <w:p>
      <w:pPr>
        <w:pStyle w:val="ListBullet"/>
        <w:spacing w:after="40"/>
      </w:pPr>
      <w:r>
        <w:rPr>
          <w:rFonts w:ascii="Liberation Serif" w:hAnsi="Liberation Serif"/>
        </w:rPr>
        <w:t>Does the UI show whether the current action is dry-run or guarded install?</w:t>
      </w:r>
    </w:p>
    <w:p>
      <w:pPr>
        <w:pStyle w:val="ListBullet"/>
        <w:spacing w:after="40"/>
      </w:pPr>
      <w:r>
        <w:rPr>
          <w:rFonts w:ascii="Liberation Serif" w:hAnsi="Liberation Serif"/>
        </w:rPr>
        <w:t>Does it make authority visible before an action?</w:t>
      </w:r>
    </w:p>
    <w:p>
      <w:pPr>
        <w:pStyle w:val="ListBullet"/>
        <w:spacing w:after="40"/>
      </w:pPr>
      <w:r>
        <w:rPr>
          <w:rFonts w:ascii="Liberation Serif" w:hAnsi="Liberation Serif"/>
        </w:rPr>
        <w:t>Does it show plan and receipt paths?</w:t>
      </w:r>
    </w:p>
    <w:p>
      <w:pPr>
        <w:pStyle w:val="ListBullet"/>
        <w:spacing w:after="40"/>
      </w:pPr>
      <w:r>
        <w:rPr>
          <w:rFonts w:ascii="Liberation Serif" w:hAnsi="Liberation Serif"/>
        </w:rPr>
        <w:t>Does it avoid language that implies production protection?</w:t>
      </w:r>
    </w:p>
    <w:p>
      <w:pPr>
        <w:pStyle w:val="ListBullet"/>
        <w:spacing w:after="40"/>
      </w:pPr>
      <w:r>
        <w:rPr>
          <w:rFonts w:ascii="Liberation Serif" w:hAnsi="Liberation Serif"/>
        </w:rPr>
        <w:t>Does it distinguish crypto posture selection from actual signing/encryption behavior?</w:t>
      </w:r>
    </w:p>
    <w:p>
      <w:pPr>
        <w:pStyle w:val="Heading1"/>
      </w:pPr>
      <w:r>
        <w:rPr>
          <w:rFonts w:ascii="Liberation Serif" w:hAnsi="Liberation Serif"/>
        </w:rPr>
        <w:t>Appendix C. Public Wording Guide</w:t>
      </w:r>
    </w:p>
    <w:p>
      <w:pPr>
        <w:pStyle w:val="Lead"/>
      </w:pPr>
      <w:r>
        <w:rPr>
          <w:rFonts w:ascii="Liberation Serif" w:hAnsi="Liberation Serif"/>
        </w:rPr>
        <w:t>Project language should be rigorous enough that a reader can infer the implementation boundary.</w:t>
      </w:r>
    </w:p>
    <w:tbl>
      <w:tblPr>
        <w:tblStyle w:val="TableGrid"/>
        <w:tblW w:type="auto" w:w="0"/>
        <w:jc w:val="center"/>
        <w:tblLook w:firstColumn="1" w:firstRow="1" w:lastColumn="0" w:lastRow="0" w:noHBand="0" w:noVBand="1" w:val="04A0"/>
      </w:tblPr>
      <w:tblGrid>
        <w:gridCol w:w="4997"/>
        <w:gridCol w:w="4997"/>
      </w:tblGrid>
      <w:tr>
        <w:tc>
          <w:tcPr>
            <w:tcW w:type="dxa" w:w="4680"/>
            <w:shd w:fill="E2E8F0"/>
            <w:tcMar>
              <w:top w:w="70" w:type="dxa"/>
              <w:start w:w="70" w:type="dxa"/>
              <w:bottom w:w="70" w:type="dxa"/>
              <w:end w:w="70" w:type="dxa"/>
            </w:tcMar>
            <w:vAlign w:val="center"/>
          </w:tcPr>
          <w:p>
            <w:r/>
            <w:r>
              <w:rPr>
                <w:rFonts w:ascii="Liberation Sans" w:hAnsi="Liberation Sans"/>
                <w:b/>
                <w:color w:val="0F172A"/>
                <w:sz w:val="17"/>
              </w:rPr>
              <w:t>Use this kind of wording</w:t>
            </w:r>
          </w:p>
        </w:tc>
        <w:tc>
          <w:tcPr>
            <w:tcW w:type="dxa" w:w="4680"/>
            <w:shd w:fill="E2E8F0"/>
            <w:tcMar>
              <w:top w:w="70" w:type="dxa"/>
              <w:start w:w="70" w:type="dxa"/>
              <w:bottom w:w="70" w:type="dxa"/>
              <w:end w:w="70" w:type="dxa"/>
            </w:tcMar>
            <w:vAlign w:val="center"/>
          </w:tcPr>
          <w:p>
            <w:r/>
            <w:r>
              <w:rPr>
                <w:rFonts w:ascii="Liberation Sans" w:hAnsi="Liberation Sans"/>
                <w:b/>
                <w:color w:val="0F172A"/>
                <w:sz w:val="17"/>
              </w:rPr>
              <w:t>Avoid this kind of wording</w:t>
            </w:r>
          </w:p>
        </w:tc>
      </w:tr>
      <w:tr>
        <w:tc>
          <w:tcPr>
            <w:tcW w:type="dxa" w:w="4680"/>
            <w:tcMar>
              <w:top w:w="60" w:type="dxa"/>
              <w:start w:w="70" w:type="dxa"/>
              <w:bottom w:w="60" w:type="dxa"/>
              <w:end w:w="70" w:type="dxa"/>
            </w:tcMar>
            <w:vAlign w:val="top"/>
          </w:tcPr>
          <w:p>
            <w:pPr>
              <w:spacing w:after="0"/>
            </w:pPr>
            <w:r/>
            <w:r>
              <w:rPr>
                <w:rFonts w:ascii="Liberation Sans" w:hAnsi="Liberation Sans"/>
                <w:color w:val="0F172A"/>
                <w:sz w:val="16"/>
              </w:rPr>
              <w:t>early verification and reporting layer</w:t>
            </w:r>
          </w:p>
        </w:tc>
        <w:tc>
          <w:tcPr>
            <w:tcW w:type="dxa" w:w="4680"/>
            <w:tcMar>
              <w:top w:w="60" w:type="dxa"/>
              <w:start w:w="70" w:type="dxa"/>
              <w:bottom w:w="60" w:type="dxa"/>
              <w:end w:w="70" w:type="dxa"/>
            </w:tcMar>
            <w:vAlign w:val="top"/>
          </w:tcPr>
          <w:p>
            <w:pPr>
              <w:spacing w:after="0"/>
            </w:pPr>
            <w:r/>
            <w:r>
              <w:rPr>
                <w:rFonts w:ascii="Liberation Sans" w:hAnsi="Liberation Sans"/>
                <w:color w:val="0F172A"/>
                <w:sz w:val="16"/>
              </w:rPr>
              <w:t>production security platform</w:t>
            </w:r>
          </w:p>
        </w:tc>
      </w:tr>
      <w:tr>
        <w:tc>
          <w:tcPr>
            <w:tcW w:type="dxa" w:w="4680"/>
            <w:tcMar>
              <w:top w:w="60" w:type="dxa"/>
              <w:start w:w="70" w:type="dxa"/>
              <w:bottom w:w="60" w:type="dxa"/>
              <w:end w:w="70" w:type="dxa"/>
            </w:tcMar>
            <w:vAlign w:val="top"/>
          </w:tcPr>
          <w:p>
            <w:pPr>
              <w:spacing w:after="0"/>
            </w:pPr>
            <w:r/>
            <w:r>
              <w:rPr>
                <w:rFonts w:ascii="Liberation Sans" w:hAnsi="Liberation Sans"/>
                <w:color w:val="0F172A"/>
                <w:sz w:val="16"/>
              </w:rPr>
              <w:t>local evidence and policy-boundary subsystem</w:t>
            </w:r>
          </w:p>
        </w:tc>
        <w:tc>
          <w:tcPr>
            <w:tcW w:type="dxa" w:w="4680"/>
            <w:tcMar>
              <w:top w:w="60" w:type="dxa"/>
              <w:start w:w="70" w:type="dxa"/>
              <w:bottom w:w="60" w:type="dxa"/>
              <w:end w:w="70" w:type="dxa"/>
            </w:tcMar>
            <w:vAlign w:val="top"/>
          </w:tcPr>
          <w:p>
            <w:pPr>
              <w:spacing w:after="0"/>
            </w:pPr>
            <w:r/>
            <w:r>
              <w:rPr>
                <w:rFonts w:ascii="Liberation Sans" w:hAnsi="Liberation Sans"/>
                <w:color w:val="0F172A"/>
                <w:sz w:val="16"/>
              </w:rPr>
              <w:t>malware or ransomware prevention</w:t>
            </w:r>
          </w:p>
        </w:tc>
      </w:tr>
      <w:tr>
        <w:tc>
          <w:tcPr>
            <w:tcW w:type="dxa" w:w="4680"/>
            <w:tcMar>
              <w:top w:w="60" w:type="dxa"/>
              <w:start w:w="70" w:type="dxa"/>
              <w:bottom w:w="60" w:type="dxa"/>
              <w:end w:w="70" w:type="dxa"/>
            </w:tcMar>
            <w:vAlign w:val="top"/>
          </w:tcPr>
          <w:p>
            <w:pPr>
              <w:spacing w:after="0"/>
            </w:pPr>
            <w:r/>
            <w:r>
              <w:rPr>
                <w:rFonts w:ascii="Liberation Sans" w:hAnsi="Liberation Sans"/>
                <w:color w:val="0F172A"/>
                <w:sz w:val="16"/>
              </w:rPr>
              <w:t>report-only state inspection</w:t>
            </w:r>
          </w:p>
        </w:tc>
        <w:tc>
          <w:tcPr>
            <w:tcW w:type="dxa" w:w="4680"/>
            <w:tcMar>
              <w:top w:w="60" w:type="dxa"/>
              <w:start w:w="70" w:type="dxa"/>
              <w:bottom w:w="60" w:type="dxa"/>
              <w:end w:w="70" w:type="dxa"/>
            </w:tcMar>
            <w:vAlign w:val="top"/>
          </w:tcPr>
          <w:p>
            <w:pPr>
              <w:spacing w:after="0"/>
            </w:pPr>
            <w:r/>
            <w:r>
              <w:rPr>
                <w:rFonts w:ascii="Liberation Sans" w:hAnsi="Liberation Sans"/>
                <w:color w:val="0F172A"/>
                <w:sz w:val="16"/>
              </w:rPr>
              <w:t>runtime enforcement</w:t>
            </w:r>
          </w:p>
        </w:tc>
      </w:tr>
      <w:tr>
        <w:tc>
          <w:tcPr>
            <w:tcW w:type="dxa" w:w="4680"/>
            <w:tcMar>
              <w:top w:w="60" w:type="dxa"/>
              <w:start w:w="70" w:type="dxa"/>
              <w:bottom w:w="60" w:type="dxa"/>
              <w:end w:w="70" w:type="dxa"/>
            </w:tcMar>
            <w:vAlign w:val="top"/>
          </w:tcPr>
          <w:p>
            <w:pPr>
              <w:spacing w:after="0"/>
            </w:pPr>
            <w:r/>
            <w:r>
              <w:rPr>
                <w:rFonts w:ascii="Liberation Sans" w:hAnsi="Liberation Sans"/>
                <w:color w:val="0F172A"/>
                <w:sz w:val="16"/>
              </w:rPr>
              <w:t>manifest/hash baseline mechanism</w:t>
            </w:r>
          </w:p>
        </w:tc>
        <w:tc>
          <w:tcPr>
            <w:tcW w:type="dxa" w:w="4680"/>
            <w:tcMar>
              <w:top w:w="60" w:type="dxa"/>
              <w:start w:w="70" w:type="dxa"/>
              <w:bottom w:w="60" w:type="dxa"/>
              <w:end w:w="70" w:type="dxa"/>
            </w:tcMar>
            <w:vAlign w:val="top"/>
          </w:tcPr>
          <w:p>
            <w:pPr>
              <w:spacing w:after="0"/>
            </w:pPr>
            <w:r/>
            <w:r>
              <w:rPr>
                <w:rFonts w:ascii="Liberation Sans" w:hAnsi="Liberation Sans"/>
                <w:color w:val="0F172A"/>
                <w:sz w:val="16"/>
              </w:rPr>
              <w:t>kernel-enforced protection</w:t>
            </w:r>
          </w:p>
        </w:tc>
      </w:tr>
      <w:tr>
        <w:tc>
          <w:tcPr>
            <w:tcW w:type="dxa" w:w="4680"/>
            <w:tcMar>
              <w:top w:w="60" w:type="dxa"/>
              <w:start w:w="70" w:type="dxa"/>
              <w:bottom w:w="60" w:type="dxa"/>
              <w:end w:w="70" w:type="dxa"/>
            </w:tcMar>
            <w:vAlign w:val="top"/>
          </w:tcPr>
          <w:p>
            <w:pPr>
              <w:spacing w:after="0"/>
            </w:pPr>
            <w:r/>
            <w:r>
              <w:rPr>
                <w:rFonts w:ascii="Liberation Sans" w:hAnsi="Liberation Sans"/>
                <w:color w:val="0F172A"/>
                <w:sz w:val="16"/>
              </w:rPr>
              <w:t>guarded user-local installer</w:t>
            </w:r>
          </w:p>
        </w:tc>
        <w:tc>
          <w:tcPr>
            <w:tcW w:type="dxa" w:w="4680"/>
            <w:tcMar>
              <w:top w:w="60" w:type="dxa"/>
              <w:start w:w="70" w:type="dxa"/>
              <w:bottom w:w="60" w:type="dxa"/>
              <w:end w:w="70" w:type="dxa"/>
            </w:tcMar>
            <w:vAlign w:val="top"/>
          </w:tcPr>
          <w:p>
            <w:pPr>
              <w:spacing w:after="0"/>
            </w:pPr>
            <w:r/>
            <w:r>
              <w:rPr>
                <w:rFonts w:ascii="Liberation Sans" w:hAnsi="Liberation Sans"/>
                <w:color w:val="0F172A"/>
                <w:sz w:val="16"/>
              </w:rPr>
              <w:t>root installer</w:t>
            </w:r>
          </w:p>
        </w:tc>
      </w:tr>
      <w:tr>
        <w:tc>
          <w:tcPr>
            <w:tcW w:type="dxa" w:w="4680"/>
            <w:tcMar>
              <w:top w:w="60" w:type="dxa"/>
              <w:start w:w="70" w:type="dxa"/>
              <w:bottom w:w="60" w:type="dxa"/>
              <w:end w:w="70" w:type="dxa"/>
            </w:tcMar>
            <w:vAlign w:val="top"/>
          </w:tcPr>
          <w:p>
            <w:pPr>
              <w:spacing w:after="0"/>
            </w:pPr>
            <w:r/>
            <w:r>
              <w:rPr>
                <w:rFonts w:ascii="Liberation Sans" w:hAnsi="Liberation Sans"/>
                <w:color w:val="0F172A"/>
                <w:sz w:val="16"/>
              </w:rPr>
              <w:t>future runtime-boundary research</w:t>
            </w:r>
          </w:p>
        </w:tc>
        <w:tc>
          <w:tcPr>
            <w:tcW w:type="dxa" w:w="4680"/>
            <w:tcMar>
              <w:top w:w="60" w:type="dxa"/>
              <w:start w:w="70" w:type="dxa"/>
              <w:bottom w:w="60" w:type="dxa"/>
              <w:end w:w="70" w:type="dxa"/>
            </w:tcMar>
            <w:vAlign w:val="top"/>
          </w:tcPr>
          <w:p>
            <w:pPr>
              <w:spacing w:after="0"/>
            </w:pPr>
            <w:r/>
            <w:r>
              <w:rPr>
                <w:rFonts w:ascii="Liberation Sans" w:hAnsi="Liberation Sans"/>
                <w:color w:val="0F172A"/>
                <w:sz w:val="16"/>
              </w:rPr>
              <w:t>sandbox today</w:t>
            </w:r>
          </w:p>
        </w:tc>
      </w:tr>
      <w:tr>
        <w:tc>
          <w:tcPr>
            <w:tcW w:type="dxa" w:w="4680"/>
            <w:tcMar>
              <w:top w:w="60" w:type="dxa"/>
              <w:start w:w="70" w:type="dxa"/>
              <w:bottom w:w="60" w:type="dxa"/>
              <w:end w:w="70" w:type="dxa"/>
            </w:tcMar>
            <w:vAlign w:val="top"/>
          </w:tcPr>
          <w:p>
            <w:pPr>
              <w:spacing w:after="0"/>
            </w:pPr>
            <w:r/>
            <w:r>
              <w:rPr>
                <w:rFonts w:ascii="Liberation Sans" w:hAnsi="Liberation Sans"/>
                <w:color w:val="0F172A"/>
                <w:sz w:val="16"/>
              </w:rPr>
              <w:t>policy-regression-backed denial behavior</w:t>
            </w:r>
          </w:p>
        </w:tc>
        <w:tc>
          <w:tcPr>
            <w:tcW w:type="dxa" w:w="4680"/>
            <w:tcMar>
              <w:top w:w="60" w:type="dxa"/>
              <w:start w:w="70" w:type="dxa"/>
              <w:bottom w:w="60" w:type="dxa"/>
              <w:end w:w="70" w:type="dxa"/>
            </w:tcMar>
            <w:vAlign w:val="top"/>
          </w:tcPr>
          <w:p>
            <w:pPr>
              <w:spacing w:after="0"/>
            </w:pPr>
            <w:r/>
            <w:r>
              <w:rPr>
                <w:rFonts w:ascii="Liberation Sans" w:hAnsi="Liberation Sans"/>
                <w:color w:val="0F172A"/>
                <w:sz w:val="16"/>
              </w:rPr>
              <w:t>guaranteed secure</w:t>
            </w:r>
          </w:p>
        </w:tc>
      </w:tr>
    </w:tbl>
    <w:p>
      <w:pPr>
        <w:pStyle w:val="BodyTight"/>
      </w:pPr>
    </w:p>
    <w:p>
      <w:pPr>
        <w:pStyle w:val="BodyTight"/>
      </w:pPr>
      <w:r>
        <w:t>A strong public sentence: "Latticra is an early, local, evidence-bound substrate for report-only verification, policy regression, manifest/hash baselines, authority-neutral Ed25519 verification evidence, metadata-only Seal gate/effect/handoff/report/envelope/signature-request classification, metadata-only Console host/receipt/OS/VM contract surfaces, Lat/LIR provenance records, guarded user-local installation, and future runtime-boundary research."</w:t>
      </w:r>
    </w:p>
    <w:p>
      <w:pPr>
        <w:pStyle w:val="BodyTight"/>
      </w:pPr>
      <w:r>
        <w:rPr>
          <w:rFonts w:ascii="Liberation Serif" w:hAnsi="Liberation Serif"/>
        </w:rPr>
        <w:t>A sentence to reject: "Latticra protects production systems from malware with kernel-enforced runtime isolation." That sentence exceeds current evidence.</w:t>
      </w:r>
    </w:p>
    <w:p>
      <w:pPr>
        <w:pStyle w:val="Heading1"/>
      </w:pPr>
      <w:r>
        <w:rPr>
          <w:rFonts w:ascii="Liberation Serif" w:hAnsi="Liberation Serif"/>
        </w:rPr>
        <w:t>Appendix D. Source Basis for This Edition</w:t>
      </w:r>
    </w:p>
    <w:p>
      <w:pPr>
        <w:pStyle w:val="Lead"/>
      </w:pPr>
      <w:r>
        <w:rPr>
          <w:rFonts w:ascii="Liberation Serif" w:hAnsi="Liberation Serif"/>
        </w:rPr>
        <w:t>This section records how this draft was grounded.</w:t>
      </w:r>
    </w:p>
    <w:p>
      <w:pPr>
        <w:pStyle w:val="BodyTight"/>
      </w:pPr>
      <w:r>
        <w:t>This edition was derived from the Latticra Seal handbook and recent repository material covering signed-request, freshness, verification, Seal metadata ladder extensions through signature request, Console host-adapter/receipt-request/payload/signature/OS/VM contract surfaces, Runtime Boundary Lat pipeline first-clause evidence propagation, installer, Panel, Nucleus, Nadia, macOS, Fedora/RPM, Lat/LIR, and one-pass field-engine evidence. It distinguishes implemented facts from inferred substrate architecture and preserves project non-claims.</w:t>
      </w:r>
    </w:p>
    <w:tbl>
      <w:tblPr>
        <w:tblStyle w:val="TableGrid"/>
        <w:tblW w:type="auto" w:w="0"/>
        <w:jc w:val="center"/>
        <w:tblLook w:firstColumn="1" w:firstRow="1" w:lastColumn="0" w:lastRow="0" w:noHBand="0" w:noVBand="1" w:val="04A0"/>
      </w:tblPr>
      <w:tblGrid>
        <w:gridCol w:w="4997"/>
        <w:gridCol w:w="4997"/>
      </w:tblGrid>
      <w:tr>
        <w:tc>
          <w:tcPr>
            <w:tcW w:type="dxa" w:w="3024"/>
            <w:shd w:fill="E2E8F0"/>
            <w:tcMar>
              <w:top w:w="70" w:type="dxa"/>
              <w:start w:w="70" w:type="dxa"/>
              <w:bottom w:w="70" w:type="dxa"/>
              <w:end w:w="70" w:type="dxa"/>
            </w:tcMar>
            <w:vAlign w:val="center"/>
          </w:tcPr>
          <w:p>
            <w:r/>
            <w:r>
              <w:rPr>
                <w:rFonts w:ascii="Liberation Sans" w:hAnsi="Liberation Sans"/>
                <w:b/>
                <w:color w:val="0F172A"/>
                <w:sz w:val="17"/>
              </w:rPr>
              <w:t>Source area</w:t>
            </w:r>
          </w:p>
        </w:tc>
        <w:tc>
          <w:tcPr>
            <w:tcW w:type="dxa" w:w="6336"/>
            <w:shd w:fill="E2E8F0"/>
            <w:tcMar>
              <w:top w:w="70" w:type="dxa"/>
              <w:start w:w="70" w:type="dxa"/>
              <w:bottom w:w="70" w:type="dxa"/>
              <w:end w:w="70" w:type="dxa"/>
            </w:tcMar>
            <w:vAlign w:val="center"/>
          </w:tcPr>
          <w:p>
            <w:r/>
            <w:r>
              <w:rPr>
                <w:rFonts w:ascii="Liberation Sans" w:hAnsi="Liberation Sans"/>
                <w:b/>
                <w:color w:val="0F172A"/>
                <w:sz w:val="17"/>
              </w:rPr>
              <w:t>Used for</w:t>
            </w:r>
          </w:p>
        </w:tc>
      </w:tr>
      <w:tr>
        <w:tc>
          <w:tcPr>
            <w:tcW w:type="dxa" w:w="302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Seal handbook</w:t>
            </w:r>
          </w:p>
        </w:tc>
        <w:tc>
          <w:tcPr>
            <w:tcW w:type="dxa" w:w="633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Seal role, architecture, policy, reports, boundaries, and roadmap.</w:t>
            </w:r>
          </w:p>
        </w:tc>
      </w:tr>
      <w:tr>
        <w:tc>
          <w:tcPr>
            <w:tcW w:type="dxa" w:w="302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Panel installer material</w:t>
            </w:r>
          </w:p>
        </w:tc>
        <w:tc>
          <w:tcPr>
            <w:tcW w:type="dxa" w:w="633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Project-level component map, UI/installer workflow, authority visibility.</w:t>
            </w:r>
          </w:p>
        </w:tc>
      </w:tr>
      <w:tr>
        <w:tc>
          <w:tcPr>
            <w:tcW w:type="dxa" w:w="302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Installer receipts and dry-run evidence</w:t>
            </w:r>
          </w:p>
        </w:tc>
        <w:tc>
          <w:tcPr>
            <w:tcW w:type="dxa" w:w="633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Guarded user-local installation and receipt semantics.</w:t>
            </w:r>
          </w:p>
        </w:tc>
      </w:tr>
      <w:tr>
        <w:tc>
          <w:tcPr>
            <w:tcW w:type="dxa" w:w="302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Fedora/RPM validation snippets</w:t>
            </w:r>
          </w:p>
        </w:tc>
        <w:tc>
          <w:tcPr>
            <w:tcW w:type="dxa" w:w="633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Validation lane framing with explicit non-claims.</w:t>
            </w:r>
          </w:p>
        </w:tc>
      </w:tr>
      <w:tr>
        <w:tc>
          <w:tcPr>
            <w:tcW w:type="dxa" w:w="3024"/>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One-pass field engine</w:t>
            </w:r>
          </w:p>
        </w:tc>
        <w:tc>
          <w:tcPr>
            <w:tcW w:type="dxa" w:w="6336"/>
            <w:tcMar>
              <w:top w:w="60" w:type="dxa"/>
              <w:start w:w="70" w:type="dxa"/>
              <w:bottom w:w="60" w:type="dxa"/>
              <w:end w:w="70" w:type="dxa"/>
            </w:tcMar>
            <w:vAlign w:val="top"/>
          </w:tcPr>
          <w:p>
            <w:pPr>
              <w:spacing w:after="0" w:before="0" w:line="240" w:lineRule="auto"/>
            </w:pPr>
            <w:r>
              <w:rPr>
                <w:rFonts w:ascii="Liberation Sans" w:hAnsi="Liberation Sans" w:eastAsia="Liberation Sans"/>
                <w:sz w:val="16"/>
              </w:rPr>
            </w:r>
            <w:r>
              <w:rPr>
                <w:rFonts w:ascii="Liberation Sans" w:hAnsi="Liberation Sans" w:eastAsia="Liberation Sans"/>
                <w:color w:val="0F172A"/>
                <w:sz w:val="16"/>
              </w:rPr>
              <w:t>Research artifact and witness-manifest pattern.</w:t>
            </w:r>
          </w:p>
        </w:tc>
      </w:tr>
      <w:tr>
        <w:tc>
          <w:tcPr>
            <w:tcW w:type="dxa" w:w="4997"/>
          </w:tcPr>
          <w:p>
            <w:pPr>
              <w:spacing w:before="0" w:after="0" w:line="240" w:lineRule="auto"/>
            </w:pPr>
            <w:r>
              <w:rPr>
                <w:rFonts w:ascii="Liberation Sans" w:hAnsi="Liberation Sans" w:eastAsia="Liberation Sans"/>
                <w:sz w:val="16"/>
              </w:rPr>
              <w:t>Latticra Console foundation</w:t>
            </w:r>
          </w:p>
        </w:tc>
        <w:tc>
          <w:tcPr>
            <w:tcW w:type="dxa" w:w="4997"/>
          </w:tcPr>
          <w:p>
            <w:r>
              <w:t>Stage-0 command registry, Panel installability, runtime-boundary binding, host-adapter contract, receipt-request/payload/signature-request-binding contracts, OS-base planning, VM-evidence contract, and no-effect operator-surface posture.</w:t>
            </w:r>
          </w:p>
        </w:tc>
      </w:tr>
      <w:tr>
        <w:tc>
          <w:tcPr>
            <w:tcW w:type="dxa" w:w="4997"/>
          </w:tcPr>
          <w:p>
            <w:pPr>
              <w:spacing w:before="0" w:after="0" w:line="240" w:lineRule="auto"/>
            </w:pPr>
            <w:r>
              <w:rPr>
                <w:rFonts w:ascii="Liberation Sans" w:hAnsi="Liberation Sans" w:eastAsia="Liberation Sans"/>
                <w:sz w:val="16"/>
              </w:rPr>
              <w:t>Nucleus task boundary</w:t>
            </w:r>
          </w:p>
        </w:tc>
        <w:tc>
          <w:tcPr>
            <w:tcW w:type="dxa" w:w="4997"/>
          </w:tcPr>
          <w:p>
            <w:pPr>
              <w:spacing w:before="0" w:after="0" w:line="240" w:lineRule="auto"/>
            </w:pPr>
            <w:r>
              <w:rPr>
                <w:rFonts w:ascii="Liberation Sans" w:hAnsi="Liberation Sans" w:eastAsia="Liberation Sans"/>
                <w:sz w:val="16"/>
              </w:rPr>
              <w:t>Report-only task classification, no-effect alignment, execution-status labels, and future-gated task vocabulary.</w:t>
            </w:r>
          </w:p>
        </w:tc>
      </w:tr>
      <w:tr>
        <w:tc>
          <w:tcPr>
            <w:tcW w:type="dxa" w:w="4997"/>
          </w:tcPr>
          <w:p>
            <w:pPr>
              <w:spacing w:before="0" w:after="0" w:line="240" w:lineRule="auto"/>
            </w:pPr>
            <w:r>
              <w:rPr>
                <w:rFonts w:ascii="Liberation Sans" w:hAnsi="Liberation Sans" w:eastAsia="Liberation Sans"/>
                <w:sz w:val="16"/>
              </w:rPr>
              <w:t>Nadia offline AI contracts</w:t>
            </w:r>
          </w:p>
        </w:tc>
        <w:tc>
          <w:tcPr>
            <w:tcW w:type="dxa" w:w="4997"/>
          </w:tcPr>
          <w:p>
            <w:pPr>
              <w:spacing w:before="0" w:after="0" w:line="240" w:lineRule="auto"/>
            </w:pPr>
            <w:r>
              <w:rPr>
                <w:rFonts w:ascii="Liberation Sans" w:hAnsi="Liberation Sans" w:eastAsia="Liberation Sans"/>
                <w:sz w:val="16"/>
              </w:rPr>
              <w:t>Stage-0 through Stage-27 metadata ladder for Panel/Console visibility, local context, model/prompt/tokenizer contracts, prompt-token-sequence and context-window boundaries, and denied AI/tool authority.</w:t>
            </w:r>
          </w:p>
        </w:tc>
      </w:tr>
      <w:tr>
        <w:tc>
          <w:tcPr>
            <w:tcW w:type="dxa" w:w="4997"/>
          </w:tcPr>
          <w:p>
            <w:pPr>
              <w:spacing w:before="0" w:after="0" w:line="240" w:lineRule="auto"/>
            </w:pPr>
            <w:r>
              <w:rPr>
                <w:rFonts w:ascii="Liberation Sans" w:hAnsi="Liberation Sans" w:eastAsia="Liberation Sans"/>
                <w:sz w:val="16"/>
              </w:rPr>
              <w:t>macOS user-local app bundle lane</w:t>
            </w:r>
          </w:p>
        </w:tc>
        <w:tc>
          <w:tcPr>
            <w:tcW w:type="dxa" w:w="4997"/>
          </w:tcPr>
          <w:p>
            <w:pPr>
              <w:spacing w:before="0" w:after="0" w:line="240" w:lineRule="auto"/>
            </w:pPr>
            <w:r>
              <w:rPr>
                <w:rFonts w:ascii="Liberation Sans" w:hAnsi="Liberation Sans" w:eastAsia="Liberation Sans"/>
                <w:sz w:val="16"/>
              </w:rPr>
              <w:t>Dry-run writer posture, user-local app bundle contract, commit gate, reset/uninstall contract, and verification transcript requirements.</w:t>
            </w:r>
          </w:p>
        </w:tc>
      </w:tr>
      <w:tr>
        <w:tc>
          <w:tcPr>
            <w:tcW w:type="dxa" w:w="4997"/>
          </w:tcPr>
          <w:p>
            <w:pPr>
              <w:spacing w:before="0" w:after="0" w:line="240" w:lineRule="auto"/>
            </w:pPr>
            <w:r>
              <w:rPr>
                <w:rFonts w:ascii="Liberation Sans" w:hAnsi="Liberation Sans" w:eastAsia="Liberation Sans"/>
                <w:sz w:val="16"/>
              </w:rPr>
              <w:t>Fedora RPM validation lanes</w:t>
            </w:r>
          </w:p>
        </w:tc>
        <w:tc>
          <w:tcPr>
            <w:tcW w:type="dxa" w:w="4997"/>
          </w:tcPr>
          <w:p>
            <w:pPr>
              <w:spacing w:before="0" w:after="0" w:line="240" w:lineRule="auto"/>
            </w:pPr>
            <w:r>
              <w:rPr>
                <w:rFonts w:ascii="Liberation Sans" w:hAnsi="Liberation Sans" w:eastAsia="Liberation Sans"/>
                <w:sz w:val="16"/>
              </w:rPr>
              <w:t>Installroot and disposable-VM RPM lifecycle evidence, bounded host-facing validation vocabulary, and Fedora non-claims.</w:t>
            </w:r>
          </w:p>
        </w:tc>
      </w:tr>
      <w:tr>
        <w:tc>
          <w:tcPr>
            <w:tcW w:type="dxa" w:w="4997"/>
          </w:tcPr>
          <w:p>
            <w:pPr>
              <w:spacing w:before="0" w:after="0" w:line="240" w:lineRule="auto"/>
            </w:pPr>
            <w:r>
              <w:rPr>
                <w:rFonts w:ascii="Liberation Sans" w:hAnsi="Liberation Sans" w:eastAsia="Liberation Sans"/>
                <w:sz w:val="16"/>
              </w:rPr>
              <w:t>Production installer readiness contract</w:t>
            </w:r>
          </w:p>
        </w:tc>
        <w:tc>
          <w:tcPr>
            <w:tcW w:type="dxa" w:w="4997"/>
          </w:tcPr>
          <w:p>
            <w:pPr>
              <w:spacing w:before="0" w:after="0" w:line="240" w:lineRule="auto"/>
            </w:pPr>
            <w:r>
              <w:rPr>
                <w:rFonts w:ascii="Liberation Sans" w:hAnsi="Liberation Sans" w:eastAsia="Liberation Sans"/>
                <w:sz w:val="16"/>
              </w:rPr>
              <w:t>Promotion gates for future installer artifacts, signatures, SBOM, install/uninstall/rollback transcripts, multi-VM validation, and readiness non-claims.</w:t>
            </w:r>
          </w:p>
        </w:tc>
      </w:tr>
      <w:tr>
        <w:tc>
          <w:tcPr>
            <w:tcW w:type="dxa" w:w="4997"/>
          </w:tcPr>
          <w:p>
            <w:r>
              <w:rPr>
                <w:rFonts w:ascii="Liberation Sans" w:hAnsi="Liberation Sans"/>
                <w:sz w:val="16"/>
              </w:rPr>
              <w:t>Seal trust and crypto metadata ladder</w:t>
            </w:r>
          </w:p>
        </w:tc>
        <w:tc>
          <w:tcPr>
            <w:tcW w:type="dxa" w:w="4997"/>
          </w:tcPr>
          <w:p>
            <w:r>
              <w:rPr>
                <w:rFonts w:ascii="Liberation Sans" w:hAnsi="Liberation Sans"/>
                <w:sz w:val="16"/>
              </w:rPr>
              <w:t>Signed request, freshness, receipt/backend, Ed25519 verify-only, verified receipt, gate, effect, handoff, report, envelope, and signature-request metadata boundaries.</w:t>
            </w:r>
          </w:p>
        </w:tc>
      </w:tr>
      <w:tr>
        <w:tc>
          <w:tcPr>
            <w:tcW w:type="dxa" w:w="4997"/>
          </w:tcPr>
          <w:p>
            <w:r>
              <w:rPr>
                <w:rFonts w:ascii="Liberation Sans" w:hAnsi="Liberation Sans"/>
                <w:sz w:val="16"/>
              </w:rPr>
              <w:t>Seal authority non-claims</w:t>
            </w:r>
          </w:p>
        </w:tc>
        <w:tc>
          <w:tcPr>
            <w:tcW w:type="dxa" w:w="4997"/>
          </w:tcPr>
          <w:p>
            <w:r>
              <w:rPr>
                <w:rFonts w:ascii="Liberation Sans" w:hAnsi="Liberation Sans"/>
                <w:sz w:val="16"/>
              </w:rPr>
              <w:t>Readiness flags remain separated from signing, object sealing, effect execution, host/network behavior, and runtime authority.</w:t>
            </w:r>
          </w:p>
        </w:tc>
      </w:tr>
      <w:tr>
        <w:tc>
          <w:tcPr>
            <w:tcW w:type="dxa" w:w="4997"/>
          </w:tcPr>
          <w:p>
            <w:r>
              <w:t>Runtime Boundary Lat clause evidence</w:t>
            </w:r>
          </w:p>
        </w:tc>
        <w:tc>
          <w:tcPr>
            <w:tcW w:type="dxa" w:w="4997"/>
          </w:tcPr>
          <w:p>
            <w:r>
              <w:t>Record-level propagation of first lowered clause node, role, effect, name, operator, and value while preserving no-effect runtime posture.</w:t>
            </w:r>
          </w:p>
        </w:tc>
      </w:tr>
    </w:tbl>
    <w:p>
      <w:pPr>
        <w:pStyle w:val="BodyTight"/>
      </w:pPr>
    </w:p>
    <w:p>
      <w:pPr>
        <w:pStyle w:val="BodyTight"/>
      </w:pPr>
      <w:r>
        <w:t>Future editions should replace inferred connective tissue with canonical specs for root architecture, Lat/LIR, Panel, Console, Nucleus, Nadia, Seal, installers, platform validation, reports, receipts, and runtime handoff.</w:t>
      </w:r>
    </w:p>
    <w:p>
      <w:pPr>
        <w:pStyle w:val="Heading1"/>
      </w:pPr>
      <w:r>
        <w:rPr>
          <w:rFonts w:ascii="Liberation Serif" w:hAnsi="Liberation Serif"/>
        </w:rPr>
        <w:t>Quick Start: How to Read Latticra as a Computer Scientist</w:t>
      </w:r>
    </w:p>
    <w:p>
      <w:pPr>
        <w:pStyle w:val="ListNumber"/>
        <w:spacing w:after="40"/>
      </w:pPr>
      <w:r>
        <w:rPr>
          <w:rFonts w:ascii="Liberation Serif" w:hAnsi="Liberation Serif"/>
        </w:rPr>
        <w:t>Start with the authority vector. Identify what the tool is allowed to do and what it explicitly cannot do.</w:t>
      </w:r>
    </w:p>
    <w:p>
      <w:pPr>
        <w:pStyle w:val="ListNumber"/>
        <w:spacing w:after="40"/>
      </w:pPr>
      <w:r>
        <w:rPr>
          <w:rFonts w:ascii="Liberation Serif" w:hAnsi="Liberation Serif"/>
        </w:rPr>
        <w:t>Read the manifest and scope rules. A local evidence tool is only meaningful if its observation set is defined.</w:t>
      </w:r>
    </w:p>
    <w:p>
      <w:pPr>
        <w:pStyle w:val="ListNumber"/>
        <w:spacing w:after="40"/>
      </w:pPr>
      <w:r>
        <w:rPr>
          <w:rFonts w:ascii="Liberation Serif" w:hAnsi="Liberation Serif"/>
        </w:rPr>
        <w:t>Inspect the report or receipt. Look for timestamp, mode, prefix, authority flags, warnings, failures, and status meaning.</w:t>
      </w:r>
    </w:p>
    <w:p>
      <w:pPr>
        <w:pStyle w:val="ListNumber"/>
        <w:spacing w:after="40"/>
      </w:pPr>
      <w:r>
        <w:rPr>
          <w:rFonts w:ascii="Liberation Serif" w:hAnsi="Liberation Serif"/>
        </w:rPr>
        <w:t>Review denial tests. A good policy layer proves that unsafe states do not pass.</w:t>
      </w:r>
    </w:p>
    <w:p>
      <w:pPr>
        <w:pStyle w:val="ListNumber"/>
        <w:spacing w:after="40"/>
      </w:pPr>
      <w:r>
        <w:rPr>
          <w:rFonts w:ascii="Liberation Serif" w:hAnsi="Liberation Serif"/>
        </w:rPr>
        <w:t>Compare documentation to evidence. Delete or weaken any sentence that outruns implementation and tests.</w:t>
      </w:r>
    </w:p>
    <w:p>
      <w:pPr>
        <w:pStyle w:val="ListNumber"/>
        <w:spacing w:after="40"/>
      </w:pPr>
      <w:r>
        <w:rPr>
          <w:rFonts w:ascii="Liberation Serif" w:hAnsi="Liberation Serif"/>
        </w:rPr>
        <w:t>Treat future runtime-boundary work as metadata research until an enforcement path exists and is tested.</w:t>
      </w:r>
    </w:p>
    <w:p>
      <w:pPr>
        <w:pStyle w:val="ListNumber"/>
      </w:pPr>
      <w:r>
        <w:t>For AI-era surfaces, distinguish contract metadata from model loading, prompt tokenization, inference, dialogue generation, source mutation, and tool execution.</w:t>
      </w:r>
    </w:p>
    <w:p>
      <w:pPr>
        <w:pStyle w:val="ListNumber"/>
      </w:pPr>
      <w:r>
        <w:t>For platform work, distinguish dry-run, installroot, disposable-VM, manual-host, and production-installer evidence.</w:t>
      </w:r>
    </w:p>
    <w:p>
      <w:pPr>
        <w:pStyle w:val="ListNumber"/>
      </w:pPr>
      <w:r>
        <w:t>For Seal work, follow the ladder through verified receipt, gate, effect, handoff, report, envelope, and signature-request metadata; never skip from evidence to authority.</w:t>
      </w:r>
    </w:p>
    <w:p>
      <w:pPr>
        <w:pStyle w:val="ListNumber"/>
      </w:pPr>
      <w:r>
        <w:t>For Console work, distinguish contract-present metadata from adapter presence, payload materialization, signature requests, receipt writing, VM launch, OS-base behavior, and boot authority.</w:t>
      </w:r>
    </w:p>
    <w:p>
      <w:pPr>
        <w:pStyle w:val="ListNumber"/>
      </w:pPr>
      <w:r>
        <w:t>For Lat/LIR work, distinguish provenance fields from language execution: copied clause operators and effect labels are evidence, not evaluated predicates or permissions.</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color w:val="64748B"/>
        <w:sz w:val="17"/>
      </w:rPr>
      <w:t xml:space="preserve">Latticra substrate draft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color w:val="475569"/>
        <w:sz w:val="17"/>
      </w:rPr>
      <w:t>The Latticra System Substrate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iberation Sans" w:hAnsi="Liberation Sans"/>
      <w:b/>
      <w:bCs/>
      <w:color w:val="0B172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ans" w:hAnsi="Liberation Sans"/>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color w:val="0B17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i/>
      <w:iCs/>
      <w:color w:val="334155"/>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ight">
    <w:name w:val="Body Tight"/>
    <w:basedOn w:val="Normal"/>
    <w:pPr>
      <w:spacing w:after="80" w:line="252" w:lineRule="auto"/>
    </w:pPr>
    <w:rPr>
      <w:sz w:val="20"/>
    </w:rPr>
  </w:style>
  <w:style w:type="paragraph" w:customStyle="1" w:styleId="Lead">
    <w:name w:val="Lead"/>
    <w:basedOn w:val="Normal"/>
    <w:pPr>
      <w:spacing w:after="200" w:line="276" w:lineRule="auto"/>
    </w:pPr>
    <w:rPr>
      <w:rFonts w:ascii="Liberation Serif" w:hAnsi="Liberation Serif"/>
      <w:i/>
      <w:color w:val="334155"/>
      <w:sz w:val="24"/>
    </w:rPr>
  </w:style>
  <w:style w:type="paragraph" w:customStyle="1" w:styleId="CodeBlock">
    <w:name w:val="CodeBlock"/>
    <w:basedOn w:val="Normal"/>
    <w:pPr>
      <w:spacing w:before="0" w:after="0" w:line="240" w:lineRule="auto"/>
    </w:pPr>
    <w:rPr>
      <w:rFonts w:ascii="Liberation Mono" w:hAnsi="Liberation Mono"/>
      <w:color w:val="0F172A"/>
      <w:sz w:val="16"/>
    </w:rPr>
  </w:style>
  <w:style w:type="paragraph" w:customStyle="1" w:styleId="CaptionSmall">
    <w:name w:val="Caption Small"/>
    <w:basedOn w:val="Normal"/>
    <w:pPr>
      <w:spacing w:after="140"/>
    </w:pPr>
    <w:rPr>
      <w:rFonts w:ascii="Liberation Sans" w:hAnsi="Liberation Sans"/>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Latticra System Substrate</dc:title>
  <dc:subject>Latticra project handbook and system substrate overview</dc:subject>
  <dc:creator>Latticra Project</dc:creator>
  <cp:keywords>Latticra, Seal, evidence-bound security, policy, report-only, authority vectors</cp:keywords>
  <dc:description>generated by python-docx</dc:description>
  <cp:lastModifiedBy>Latticra Project</cp:lastModifiedBy>
  <cp:revision>1</cp:revision>
  <dcterms:created xsi:type="dcterms:W3CDTF">2013-12-23T23:15:00Z</dcterms:created>
  <dcterms:modified xsi:type="dcterms:W3CDTF">2013-12-23T23:15:00Z</dcterms:modified>
  <cp:category/>
</cp:coreProperties>
</file>