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rPr>
          <w:rFonts w:ascii="Liberation Sans" w:hAnsi="Liberation Sans"/>
          <w:color w:val="475569"/>
          <w:sz w:val="20"/>
        </w:rPr>
        <w:t>Working Draft 0.1 - 2026-05-24</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rPr>
          <w:rFonts w:ascii="Liberation Serif" w:hAnsi="Liberation Serif"/>
        </w:rPr>
        <w:t>Source posture: the source material available for this edition included the uploaded Seal handbook and recent project evidence around the Latticra Panel installer, guarded user-local installation, receipts, component markers, Fedora validation traces, and a one-pass field-engine browser artifact. Where the broader project is not fully specified by those materials, this book defines a conservative model rather than asserting unverified implementation details.</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BodyTight"/>
      </w:pPr>
    </w:p>
    <w:p>
      <w:r>
        <w:rPr>
          <w:rFonts w:ascii="Liberation Serif" w:hAnsi="Liberation Serif"/>
        </w:rPr>
        <w:br w:type="page"/>
      </w:r>
    </w:p>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Local report generation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Manifest/hash baseline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Policy regression lane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Current evidence-bound capability</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Panel bridge</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Guarded local-prefix installer</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Evidence from local installer work</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Network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network authority.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Root authority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root installation.</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Kernel/systemd/SELinux integration</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pPr>
            <w:r/>
            <w:r>
              <w:rPr>
                <w:rFonts w:ascii="Liberation Sans" w:hAnsi="Liberation Sans"/>
                <w:color w:val="0F172A"/>
                <w:sz w:val="16"/>
              </w:rPr>
              <w:t>Production host security</w:t>
            </w:r>
          </w:p>
        </w:tc>
        <w:tc>
          <w:tcPr>
            <w:tcW w:type="dxa" w:w="2952"/>
            <w:tcMar>
              <w:top w:w="60" w:type="dxa"/>
              <w:start w:w="70" w:type="dxa"/>
              <w:bottom w:w="60" w:type="dxa"/>
              <w:end w:w="70" w:type="dxa"/>
            </w:tcMar>
            <w:vAlign w:val="top"/>
          </w:tcPr>
          <w:p>
            <w:pPr>
              <w:spacing w:after="0"/>
            </w:pPr>
            <w:r/>
            <w:r>
              <w:rPr>
                <w:rFonts w:ascii="Liberation Sans" w:hAnsi="Liberation Sans"/>
                <w:color w:val="0F172A"/>
                <w:sz w:val="16"/>
              </w:rPr>
              <w:t>Not current</w:t>
            </w:r>
          </w:p>
        </w:tc>
        <w:tc>
          <w:tcPr>
            <w:tcW w:type="dxa" w:w="4176"/>
            <w:tcMar>
              <w:top w:w="60" w:type="dxa"/>
              <w:start w:w="70" w:type="dxa"/>
              <w:bottom w:w="60" w:type="dxa"/>
              <w:end w:w="70" w:type="dxa"/>
            </w:tcMar>
            <w:vAlign w:val="top"/>
          </w:tcPr>
          <w:p>
            <w:pPr>
              <w:spacing w:after="0"/>
            </w:pPr>
            <w:r/>
            <w:r>
              <w:rPr>
                <w:rFonts w:ascii="Liberation Sans" w:hAnsi="Liberation Sans"/>
                <w:color w:val="0F172A"/>
                <w:sz w:val="16"/>
              </w:rPr>
              <w:t>Do not claim host protection, malware prevention, or ransomware prevention.</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every public claim c in ClaimSet:</w:t>
            </w:r>
            <w:r>
              <w:br/>
            </w:r>
            <w:r>
              <w:rPr>
                <w:rFonts w:ascii="Liberation Mono" w:hAnsi="Liberation Mono"/>
                <w:sz w:val="16"/>
              </w:rPr>
              <w:t xml:space="preserve">    require exists evidence e</w:t>
            </w:r>
            <w:r>
              <w:br/>
            </w:r>
            <w:r>
              <w:rPr>
                <w:rFonts w:ascii="Liberation Mono" w:hAnsi="Liberation Mono"/>
                <w:sz w:val="16"/>
              </w:rPr>
              <w:t xml:space="preserve">    require exists test t</w:t>
            </w:r>
            <w:r>
              <w:br/>
            </w:r>
            <w:r>
              <w:rPr>
                <w:rFonts w:ascii="Liberation Mono" w:hAnsi="Liberation Mono"/>
                <w:sz w:val="16"/>
              </w:rPr>
              <w:t xml:space="preserve">    require t reproduces e</w:t>
            </w:r>
            <w:r>
              <w:br/>
            </w:r>
            <w:r>
              <w:rPr>
                <w:rFonts w:ascii="Liberation Mono" w:hAnsi="Liberation Mono"/>
                <w:sz w:val="16"/>
              </w:rPr>
              <w:t xml:space="preserve">    require implementation effect supports c</w:t>
            </w:r>
            <w:r>
              <w:br/>
            </w:r>
            <w:r>
              <w:rPr>
                <w:rFonts w:ascii="Liberation Mono" w:hAnsi="Liberation Mono"/>
                <w:sz w:val="16"/>
              </w:rPr>
              <w:t xml:space="preserve">    otherwise deny c or mark c as future work</w:t>
            </w:r>
          </w:p>
        </w:tc>
      </w:tr>
    </w:tbl>
    <w:p>
      <w:pPr>
        <w:pStyle w:val="BodyTight"/>
      </w:pPr>
    </w:p>
    <w:p>
      <w:pPr>
        <w:pStyle w:val="BodyTight"/>
      </w:pPr>
      <w:r>
        <w:rPr>
          <w:rFonts w:ascii="Liberation Serif" w:hAnsi="Liberation Serif"/>
        </w:rPr>
        <w:t>This invariant is stronger than a checklist. It is a design philosophy that turns documentation into an enforceable development constraint. The Latticra project should treat exaggerated language as a failing test of the public interface.</w:t>
      </w:r>
    </w:p>
    <w:p>
      <w:r>
        <w:rPr>
          <w:rFonts w:ascii="Liberation Serif" w:hAnsi="Liberation Serif"/>
        </w:rPr>
        <w:br w:type="page"/>
      </w: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1"/>
      </w:pPr>
      <w:r>
        <w:rPr>
          <w:rFonts w:ascii="Liberation Serif" w:hAnsi="Liberation Serif"/>
        </w:rPr>
        <w:t>Chapter 7. Lat, LIR, and Contract Surfaces</w:t>
      </w:r>
    </w:p>
    <w:p>
      <w:pPr>
        <w:pStyle w:val="Lead"/>
      </w:pPr>
      <w:r>
        <w:rPr>
          <w:rFonts w:ascii="Liberation Serif" w:hAnsi="Liberation Serif"/>
        </w:rPr>
        <w:t>The available evidence names Lat tooling and LIR contracts as installed components. This edition treats them as contract surfaces until fuller language or IR specifications are available.</w:t>
      </w:r>
    </w:p>
    <w:p>
      <w:pPr>
        <w:pStyle w:val="BodyTight"/>
      </w:pPr>
      <w:r>
        <w:rPr>
          <w:rFonts w:ascii="Liberation Serif" w:hAnsi="Liberation Serif"/>
        </w:rPr>
        <w:t>A project book should include Lat and LIR, but it should not invent semantics that the available documents do not prove. The disciplined phrasing is: Lat tooling and LIR contracts appear as Latticra component lanes, installed alongside Seal, docs/examples, and developer CLI helpers. Their project role should be formalized through interface contracts, examples, and validation tests.</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7.2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r>
        <w:rPr>
          <w:rFonts w:ascii="Liberation Serif" w:hAnsi="Liberation Serif"/>
        </w:rPr>
        <w:br w:type="page"/>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r>
        <w:rPr>
          <w:rFonts w:ascii="Liberation Serif" w:hAnsi="Liberation Serif"/>
        </w:rPr>
        <w:br w:type="page"/>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No-effect dry-run handoff, capability gate,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vector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Boundary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Claim ledger</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Effect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Evidence-bound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Fail closed</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Substrate</w:t>
            </w:r>
          </w:p>
        </w:tc>
        <w:tc>
          <w:tcPr>
            <w:tcW w:type="dxa" w:w="7200"/>
            <w:tcMar>
              <w:top w:w="60" w:type="dxa"/>
              <w:start w:w="70" w:type="dxa"/>
              <w:bottom w:w="60" w:type="dxa"/>
              <w:end w:w="70" w:type="dxa"/>
            </w:tcMar>
            <w:vAlign w:val="top"/>
          </w:tcPr>
          <w:p>
            <w:pPr>
              <w:spacing w:after="0"/>
            </w:pPr>
            <w:r/>
            <w:r>
              <w:rPr>
                <w:rFonts w:ascii="Liberation Sans" w:hAnsi="Liberation Sans"/>
                <w:color w:val="0F172A"/>
                <w:sz w:val="16"/>
              </w:rPr>
              <w:t>A foundational layer of state, policy, evidence, and authority relations.</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rPr>
          <w:rFonts w:ascii="Liberation Serif" w:hAnsi="Liberation Serif"/>
        </w:rPr>
        <w:t>A strong public sentence: "Latticra is an early, local, evidence-bound substrate for report-only verification, policy regression, manifest/hash baselines,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rPr>
          <w:rFonts w:ascii="Liberation Serif" w:hAnsi="Liberation Serif"/>
        </w:rPr>
        <w:t>This edition was derived from the uploaded Latticra Seal handbook and broadened with recent File Library material containing Panel installer notes, dry-run and local-prefix install transcripts, receipt and component-marker evidence, Fedora validation snippets, and the one-pass field-engine browser artifact. The expansion is conservative: it treats the broader project as a substrate architecture and does not claim production security readiness, runtime enforcement, network authority, root authority, kernel integration, SELinux integration, systemd enforcement, or Fedora approval.</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Seal handbook</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Panel installer material</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Installer receipts and dry-run evidence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Fedora/RPM validation snippets</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pPr>
            <w:r/>
            <w:r>
              <w:rPr>
                <w:rFonts w:ascii="Liberation Sans" w:hAnsi="Liberation Sans"/>
                <w:color w:val="0F172A"/>
                <w:sz w:val="16"/>
              </w:rPr>
              <w:t>One-pass field engine</w:t>
            </w:r>
          </w:p>
        </w:tc>
        <w:tc>
          <w:tcPr>
            <w:tcW w:type="dxa" w:w="6336"/>
            <w:tcMar>
              <w:top w:w="60" w:type="dxa"/>
              <w:start w:w="70" w:type="dxa"/>
              <w:bottom w:w="60" w:type="dxa"/>
              <w:end w:w="70" w:type="dxa"/>
            </w:tcMar>
            <w:vAlign w:val="top"/>
          </w:tcPr>
          <w:p>
            <w:pPr>
              <w:spacing w:after="0"/>
            </w:pPr>
            <w:r/>
            <w:r>
              <w:rPr>
                <w:rFonts w:ascii="Liberation Sans" w:hAnsi="Liberation Sans"/>
                <w:color w:val="0F172A"/>
                <w:sz w:val="16"/>
              </w:rPr>
              <w:t>Research artifact and witness-manifest pattern.</w:t>
            </w:r>
          </w:p>
        </w:tc>
      </w:tr>
    </w:tbl>
    <w:p>
      <w:pPr>
        <w:pStyle w:val="BodyTight"/>
      </w:pPr>
    </w:p>
    <w:p>
      <w:pPr>
        <w:pStyle w:val="BodyTight"/>
      </w:pPr>
      <w:r>
        <w:rPr>
          <w:rFonts w:ascii="Liberation Serif" w:hAnsi="Liberation Serif"/>
        </w:rPr>
        <w:t>Future editions should replace inferred project-level connective tissue with canonical repository documents as they mature: a root architecture spec, Lat/LIR spec, Panel UX contract, installer readiness contract, report schema, receipt schema, and runtime-handoff specification.</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BodyTight"/>
      </w:pPr>
      <w:r>
        <w:rPr>
          <w:rFonts w:ascii="Liberation Serif" w:hAnsi="Liberation Serif"/>
        </w:rPr>
        <w:t>The result is a project that can mature without pretending. That is the Latticra contribution: not a premature claim of security, but a substrate where the effects of modern security work become explicit enough to verify.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