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rPr>
          <w:rFonts w:ascii="Liberation Sans" w:hAnsi="Liberation Sans" w:eastAsia="Liberation Sans"/>
          <w:sz w:val="20"/>
        </w:rPr>
        <w:t>Working Draft 0.8 - 2026-05-25</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rPr>
          <w:rFonts w:ascii="Liberation Serif" w:hAnsi="Liberation Serif" w:eastAsia="Liberation Serif"/>
        </w:rPr>
        <w:t>Source posture: this edition draws from the Seal handbook plus current Seal signed-request, request-freshness, verification-receipt, crypto-verify-backend, Ed25519 verify-only, verified-receipt-promotion, verified-capability-gate, capability-gate, and effect-decision records; Panel/installer receipts; Fedora and macOS platform-validation records; production-installer readiness gates; Lat/LIR; Latticra Console; Nucleus; Nadia Stage-27; threat-model, runtime-boundary, and abuse-case evidence. Where project documents are not yet canonical, this book uses conservative connective tissue rather than asserting implementation details.</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Local report generation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generate local evidence reports.</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Manifest/hash baseline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compare local evidence against declared expectations.</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Policy regression lane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Denied states are part of the test story.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bridge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should surface reports and authority state safely.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local-prefix installer</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 from local installer work</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can operate as user-local, guarded, and receipt-generating.</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enforcement</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handoff metadata only until enforcement exists and is tested.</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Network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network authority.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Root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root installation.</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Kernel/systemd/SELinux integration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or future integration only.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Production host security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host protection, malware prevention, or ransomware prevention.</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Nucleus task boundary</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Report-only task records with no-effect alignment and execution/effect/runtime labels.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classifies and reports task-shaped requests; do not say it executes tasks.</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Nadia offline AI</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Stage-0 through Stage-27 contract metadata; no model runtime, tokenization, context-window assembly, inference, dialogue, or tools.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is an offline-AI contract ladder; do not say it is an active AI assistant.</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macOS app bundle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No-effect user-local app-bundle writer dry-run, commit gate, reset/uninstall dry-run contract, and verification-transcript contract.</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macOS install evidence is being specified; do not say a macOS installer exists.</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Fedora RPM lifecycle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Controlled installroot/disposable-VM RPM evidence and package validation records.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bounded RPM lifecycle evidence exists; do not say Fedora approval or daily-driver readiness.</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Production installer readiness</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Contract-only readiness gate with required future artifacts, transcripts, signatures, rollback, and multi-VM evidence.</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readiness is gated and currently false; do not say Latticra is production installable.</w:t>
            </w:r>
          </w:p>
        </w:tc>
      </w:tr>
      <w:tr>
        <w:tc>
          <w:tcPr>
            <w:tcW w:type="dxa" w:w="3331"/>
          </w:tcPr>
          <w:p>
            <w:pPr>
              <w:spacing w:before="0" w:after="0" w:line="240" w:lineRule="auto"/>
            </w:pPr>
            <w:r>
              <w:rPr>
                <w:rFonts w:ascii="Liberation Sans" w:hAnsi="Liberation Sans" w:eastAsia="Liberation Sans"/>
                <w:sz w:val="16"/>
              </w:rPr>
              <w:t>Seal signed request metadata</w:t>
            </w:r>
          </w:p>
        </w:tc>
        <w:tc>
          <w:tcPr>
            <w:tcW w:type="dxa" w:w="3331"/>
          </w:tcPr>
          <w:p>
            <w:pPr>
              <w:spacing w:before="0" w:after="0" w:line="240" w:lineRule="auto"/>
            </w:pPr>
            <w:r>
              <w:rPr>
                <w:rFonts w:ascii="Liberation Sans" w:hAnsi="Liberation Sans" w:eastAsia="Liberation Sans"/>
                <w:sz w:val="16"/>
              </w:rPr>
              <w:t>Report-only metadata; signing and verification unsupported.</w:t>
            </w:r>
          </w:p>
        </w:tc>
        <w:tc>
          <w:tcPr>
            <w:tcW w:type="dxa" w:w="3331"/>
          </w:tcPr>
          <w:p>
            <w:pPr>
              <w:spacing w:before="0" w:after="0" w:line="240" w:lineRule="auto"/>
            </w:pPr>
            <w:r>
              <w:rPr>
                <w:rFonts w:ascii="Liberation Sans" w:hAnsi="Liberation Sans" w:eastAsia="Liberation Sans"/>
                <w:sz w:val="16"/>
              </w:rPr>
              <w:t>Say Seal records signed-request vocabulary; do not say it signs, verifies, enforces, or trusts requests.</w:t>
            </w:r>
          </w:p>
        </w:tc>
      </w:tr>
      <w:tr>
        <w:tc>
          <w:tcPr>
            <w:tcW w:type="dxa" w:w="3331"/>
          </w:tcPr>
          <w:p>
            <w:pPr>
              <w:spacing w:before="0" w:after="0" w:line="240" w:lineRule="auto"/>
            </w:pPr>
            <w:r>
              <w:rPr>
                <w:rFonts w:ascii="Liberation Sans" w:hAnsi="Liberation Sans" w:eastAsia="Liberation Sans"/>
                <w:sz w:val="16"/>
              </w:rPr>
              <w:t>Seal verification receipt and crypto backend metadata</w:t>
            </w:r>
          </w:p>
        </w:tc>
        <w:tc>
          <w:tcPr>
            <w:tcW w:type="dxa" w:w="3331"/>
          </w:tcPr>
          <w:p>
            <w:pPr>
              <w:spacing w:before="0" w:after="0" w:line="240" w:lineRule="auto"/>
            </w:pPr>
            <w:r>
              <w:rPr>
                <w:rFonts w:ascii="Liberation Sans" w:hAnsi="Liberation Sans" w:eastAsia="Liberation Sans"/>
                <w:sz w:val="16"/>
              </w:rPr>
              <w:t>Baseline receipt/backend metadata remains unverified or unsupported until a later verify-only result is introduced.</w:t>
            </w:r>
          </w:p>
        </w:tc>
        <w:tc>
          <w:tcPr>
            <w:tcW w:type="dxa" w:w="3331"/>
          </w:tcPr>
          <w:p>
            <w:pPr>
              <w:spacing w:before="0" w:after="0" w:line="240" w:lineRule="auto"/>
            </w:pPr>
            <w:r>
              <w:rPr>
                <w:rFonts w:ascii="Liberation Sans" w:hAnsi="Liberation Sans" w:eastAsia="Liberation Sans"/>
                <w:sz w:val="16"/>
              </w:rPr>
              <w:t>Say the predecessor boundary is specified; do not treat backend metadata alone as cryptographic verification.</w:t>
            </w:r>
          </w:p>
        </w:tc>
      </w:tr>
      <w:tr>
        <w:tc>
          <w:tcPr>
            <w:tcW w:type="dxa" w:w="3331"/>
          </w:tcPr>
          <w:p>
            <w:pPr>
              <w:spacing w:before="0" w:after="0" w:line="240" w:lineRule="auto"/>
            </w:pPr>
            <w:r>
              <w:rPr>
                <w:rFonts w:ascii="Liberation Sans" w:hAnsi="Liberation Sans" w:eastAsia="Liberation Sans"/>
                <w:sz w:val="16"/>
              </w:rPr>
              <w:t>Seal capability and effect gates</w:t>
            </w:r>
          </w:p>
        </w:tc>
        <w:tc>
          <w:tcPr>
            <w:tcW w:type="dxa" w:w="3331"/>
          </w:tcPr>
          <w:p>
            <w:pPr>
              <w:spacing w:before="0" w:after="0" w:line="240" w:lineRule="auto"/>
            </w:pPr>
            <w:r>
              <w:rPr>
                <w:rFonts w:ascii="Liberation Sans" w:hAnsi="Liberation Sans" w:eastAsia="Liberation Sans"/>
                <w:sz w:val="16"/>
              </w:rPr>
              <w:t>Denied-by-default metadata with gate_allowed=0, effect_allowed=0, and runtime_authority_granted=0.</w:t>
            </w:r>
          </w:p>
        </w:tc>
        <w:tc>
          <w:tcPr>
            <w:tcW w:type="dxa" w:w="3331"/>
          </w:tcPr>
          <w:p>
            <w:pPr>
              <w:spacing w:before="0" w:after="0" w:line="240" w:lineRule="auto"/>
            </w:pPr>
            <w:r>
              <w:rPr>
                <w:rFonts w:ascii="Liberation Sans" w:hAnsi="Liberation Sans" w:eastAsia="Liberation Sans"/>
                <w:sz w:val="16"/>
              </w:rPr>
              <w:t>Say gates and decisions preserve non-effects; do not say they enforce capabilities or perform host effects.</w:t>
            </w:r>
          </w:p>
        </w:tc>
      </w:tr>
      <w:tr>
        <w:tc>
          <w:tcPr>
            <w:tcW w:type="dxa" w:w="3331"/>
          </w:tcPr>
          <w:p>
            <w:pPr>
              <w:spacing w:before="0" w:after="0" w:line="240" w:lineRule="auto"/>
            </w:pPr>
            <w:r>
              <w:rPr>
                <w:rFonts w:ascii="Liberation Sans" w:hAnsi="Liberation Sans" w:eastAsia="Liberation Sans"/>
                <w:sz w:val="16"/>
              </w:rPr>
              <w:t>Seal Ed25519 verify-only result</w:t>
            </w:r>
          </w:p>
        </w:tc>
        <w:tc>
          <w:tcPr>
            <w:tcW w:type="dxa" w:w="3331"/>
          </w:tcPr>
          <w:p>
            <w:pPr>
              <w:spacing w:before="0" w:after="0" w:line="240" w:lineRule="auto"/>
            </w:pPr>
            <w:r>
              <w:rPr>
                <w:rFonts w:ascii="Liberation Sans" w:hAnsi="Liberation Sans" w:eastAsia="Liberation Sans"/>
                <w:sz w:val="16"/>
              </w:rPr>
              <w:t>Local provider-backed verification of caller-supplied message, public key, and signature bytes; authority-neutral.</w:t>
            </w:r>
          </w:p>
        </w:tc>
        <w:tc>
          <w:tcPr>
            <w:tcW w:type="dxa" w:w="3331"/>
          </w:tcPr>
          <w:p>
            <w:pPr>
              <w:spacing w:before="0" w:after="0" w:line="240" w:lineRule="auto"/>
            </w:pPr>
            <w:r>
              <w:rPr>
                <w:rFonts w:ascii="Liberation Sans" w:hAnsi="Liberation Sans" w:eastAsia="Liberation Sans"/>
                <w:sz w:val="16"/>
              </w:rPr>
              <w:t>Say local Ed25519 verify-only evidence exists; do not claim signing, trust stores, revocation, production crypto, or authority.</w:t>
            </w:r>
          </w:p>
        </w:tc>
      </w:tr>
      <w:tr>
        <w:tc>
          <w:tcPr>
            <w:tcW w:type="dxa" w:w="3331"/>
          </w:tcPr>
          <w:p>
            <w:pPr>
              <w:spacing w:before="0" w:after="0" w:line="240" w:lineRule="auto"/>
            </w:pPr>
            <w:r>
              <w:rPr>
                <w:rFonts w:ascii="Liberation Sans" w:hAnsi="Liberation Sans" w:eastAsia="Liberation Sans"/>
                <w:sz w:val="16"/>
              </w:rPr>
              <w:t>Seal verified receipt promotion</w:t>
            </w:r>
          </w:p>
        </w:tc>
        <w:tc>
          <w:tcPr>
            <w:tcW w:type="dxa" w:w="3331"/>
          </w:tcPr>
          <w:p>
            <w:pPr>
              <w:spacing w:before="0" w:after="0" w:line="240" w:lineRule="auto"/>
            </w:pPr>
            <w:r>
              <w:rPr>
                <w:rFonts w:ascii="Liberation Sans" w:hAnsi="Liberation Sans" w:eastAsia="Liberation Sans"/>
                <w:sz w:val="16"/>
              </w:rPr>
              <w:t>Successful verify-only results can be promoted into verified receipt metadata with authority still zero.</w:t>
            </w:r>
          </w:p>
        </w:tc>
        <w:tc>
          <w:tcPr>
            <w:tcW w:type="dxa" w:w="3331"/>
          </w:tcPr>
          <w:p>
            <w:pPr>
              <w:spacing w:before="0" w:after="0" w:line="240" w:lineRule="auto"/>
            </w:pPr>
            <w:r>
              <w:rPr>
                <w:rFonts w:ascii="Liberation Sans" w:hAnsi="Liberation Sans" w:eastAsia="Liberation Sans"/>
                <w:sz w:val="16"/>
              </w:rPr>
              <w:t>Say evidence promotion; do not say permission promotion, capability authorization, effects, or runtime handoff.</w:t>
            </w:r>
          </w:p>
        </w:tc>
      </w:tr>
      <w:tr>
        <w:tc>
          <w:tcPr>
            <w:tcW w:type="dxa" w:w="3331"/>
          </w:tcPr>
          <w:p>
            <w:pPr>
              <w:spacing w:before="0" w:after="0" w:line="240" w:lineRule="auto"/>
            </w:pPr>
            <w:r>
              <w:rPr>
                <w:rFonts w:ascii="Liberation Sans" w:hAnsi="Liberation Sans" w:eastAsia="Liberation Sans"/>
                <w:sz w:val="16"/>
              </w:rPr>
              <w:t>Seal verified capability gate</w:t>
            </w:r>
          </w:p>
        </w:tc>
        <w:tc>
          <w:tcPr>
            <w:tcW w:type="dxa" w:w="3331"/>
          </w:tcPr>
          <w:p>
            <w:pPr>
              <w:spacing w:before="0" w:after="0" w:line="240" w:lineRule="auto"/>
            </w:pPr>
            <w:r>
              <w:rPr>
                <w:rFonts w:ascii="Liberation Sans" w:hAnsi="Liberation Sans" w:eastAsia="Liberation Sans"/>
                <w:sz w:val="16"/>
              </w:rPr>
              <w:t>Verified receipt metadata can pass a narrow report/evaluate metadata gate with gate_allowed=1 and no effects.</w:t>
            </w:r>
          </w:p>
        </w:tc>
        <w:tc>
          <w:tcPr>
            <w:tcW w:type="dxa" w:w="3331"/>
          </w:tcPr>
          <w:p>
            <w:pPr>
              <w:spacing w:before="0" w:after="0" w:line="240" w:lineRule="auto"/>
            </w:pPr>
            <w:r>
              <w:rPr>
                <w:rFonts w:ascii="Liberation Sans" w:hAnsi="Liberation Sans" w:eastAsia="Liberation Sans"/>
                <w:sz w:val="16"/>
              </w:rPr>
              <w:t>Say metadata-only gate evaluation; do not say capability enforcement, effect execution, or runtime permission.</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claim c:</w:t>
              <w:br/>
              <w:t xml:space="preserve">    require evidence, tests, and implementation support</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Console,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Project tooling lane; details should be specified by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Intermediate representation or contract surface; should remain test-driven.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r>
        <w:tc>
          <w:tcPr>
            <w:tcW w:type="dxa" w:w="3331"/>
          </w:tcPr>
          <w:p>
            <w:pPr/>
            <w:r>
              <w:rPr>
                <w:rFonts w:ascii="Liberation Sans" w:hAnsi="Liberation Sans"/>
                <w:sz w:val="16"/>
              </w:rPr>
              <w:t>LC</w:t>
            </w:r>
          </w:p>
        </w:tc>
        <w:tc>
          <w:tcPr>
            <w:tcW w:type="dxa" w:w="3331"/>
          </w:tcPr>
          <w:p>
            <w:pPr/>
            <w:r>
              <w:rPr>
                <w:rFonts w:ascii="Liberation Sans" w:hAnsi="Liberation Sans"/>
                <w:sz w:val="16"/>
              </w:rPr>
              <w:t>latticra-lc, command registry, profiles</w:t>
            </w:r>
          </w:p>
        </w:tc>
        <w:tc>
          <w:tcPr>
            <w:tcW w:type="dxa" w:w="3331"/>
          </w:tcPr>
          <w:p>
            <w:pPr/>
            <w:r>
              <w:rPr>
                <w:rFonts w:ascii="Liberation Sans" w:hAnsi="Liberation Sans"/>
                <w:sz w:val="16"/>
              </w:rPr>
              <w:t>Operator command surface with no-effect metadata and future gates.</w:t>
            </w:r>
          </w:p>
        </w:tc>
      </w:tr>
      <w:tr>
        <w:tc>
          <w:tcPr>
            <w:tcW w:type="dxa" w:w="3331"/>
          </w:tcPr>
          <w:p>
            <w:pPr/>
            <w:r>
              <w:rPr>
                <w:rFonts w:ascii="Liberation Sans" w:hAnsi="Liberation Sans"/>
                <w:sz w:val="16"/>
              </w:rPr>
              <w:t>Nucleus</w:t>
            </w:r>
          </w:p>
        </w:tc>
        <w:tc>
          <w:tcPr>
            <w:tcW w:type="dxa" w:w="3331"/>
          </w:tcPr>
          <w:p>
            <w:pPr/>
            <w:r>
              <w:rPr>
                <w:rFonts w:ascii="Liberation Sans" w:hAnsi="Liberation Sans"/>
                <w:sz w:val="16"/>
              </w:rPr>
              <w:t>nucleus task records and report-only runners</w:t>
            </w:r>
          </w:p>
        </w:tc>
        <w:tc>
          <w:tcPr>
            <w:tcW w:type="dxa" w:w="3331"/>
          </w:tcPr>
          <w:p>
            <w:pPr/>
            <w:r>
              <w:rPr>
                <w:rFonts w:ascii="Liberation Sans" w:hAnsi="Liberation Sans"/>
                <w:sz w:val="16"/>
              </w:rPr>
              <w:t>Coordinate task-boundary metadata without effect-performing execution.</w:t>
            </w:r>
          </w:p>
        </w:tc>
      </w:tr>
      <w:tr>
        <w:tc>
          <w:tcPr>
            <w:tcW w:type="dxa" w:w="3331"/>
          </w:tcPr>
          <w:p>
            <w:pPr/>
            <w:r>
              <w:rPr>
                <w:rFonts w:ascii="Liberation Sans" w:hAnsi="Liberation Sans"/>
                <w:sz w:val="16"/>
              </w:rPr>
              <w:t>Nadia</w:t>
            </w:r>
          </w:p>
        </w:tc>
        <w:tc>
          <w:tcPr>
            <w:tcW w:type="dxa" w:w="3331"/>
          </w:tcPr>
          <w:p>
            <w:pPr/>
            <w:r>
              <w:rPr>
                <w:rFonts w:ascii="Liberation Sans" w:hAnsi="Liberation Sans"/>
                <w:sz w:val="16"/>
              </w:rPr>
              <w:t>latticra-nadia, Panel component, Console metadata</w:t>
            </w:r>
          </w:p>
        </w:tc>
        <w:tc>
          <w:tcPr>
            <w:tcW w:type="dxa" w:w="3331"/>
          </w:tcPr>
          <w:p>
            <w:pPr/>
            <w:r>
              <w:rPr>
                <w:rFonts w:ascii="Liberation Sans" w:hAnsi="Liberation Sans"/>
                <w:sz w:val="16"/>
              </w:rPr>
              <w:t>Offline-AI contract ladder with denied model, tokenizer, prompt, runtime, and tool authority.</w:t>
            </w:r>
          </w:p>
        </w:tc>
      </w:tr>
      <w:tr>
        <w:tc>
          <w:tcPr>
            <w:tcW w:type="dxa" w:w="3331"/>
          </w:tcPr>
          <w:p>
            <w:pPr/>
            <w:r>
              <w:rPr>
                <w:rFonts w:ascii="Liberation Sans" w:hAnsi="Liberation Sans"/>
                <w:sz w:val="16"/>
              </w:rPr>
              <w:t>Platform install lanes</w:t>
            </w:r>
          </w:p>
        </w:tc>
        <w:tc>
          <w:tcPr>
            <w:tcW w:type="dxa" w:w="3331"/>
          </w:tcPr>
          <w:p>
            <w:pPr/>
            <w:r>
              <w:rPr>
                <w:rFonts w:ascii="Liberation Sans" w:hAnsi="Liberation Sans"/>
                <w:sz w:val="16"/>
              </w:rPr>
              <w:t>macOS contracts, Fedora RPM lanes, production readiness gates</w:t>
            </w:r>
          </w:p>
        </w:tc>
        <w:tc>
          <w:tcPr>
            <w:tcW w:type="dxa" w:w="3331"/>
          </w:tcPr>
          <w:p>
            <w:pPr/>
            <w:r>
              <w:rPr>
                <w:rFonts w:ascii="Liberation Sans" w:hAnsi="Liberation Sans"/>
                <w:sz w:val="16"/>
              </w:rPr>
              <w:t>Convert host-facing install claims into dry-run reports, bounded transcripts, and explicit non-readiness evidence.</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2"/>
      </w:pPr>
      <w:r>
        <w:t>4.3 Latticra Console as operator surface</w:t>
      </w:r>
    </w:p>
    <w:p>
      <w:pPr>
        <w:pStyle w:val="BodyTight"/>
      </w:pPr>
      <w:r>
        <w:t>Latticra Console, or LC, is the planned operator base for the substrate. Stage 0 makes LC visible without granting host authority: it is panel-installable, configurable, backed by a seed command registry, and bound to Runtime Boundary classification plus Seal capability labels.</w:t>
      </w:r>
    </w:p>
    <w:p>
      <w:pPr>
        <w:pStyle w:val="ListBullet"/>
      </w:pPr>
      <w:r>
        <w:t>LC command metadata records name, usage, category, effect, capability label, no-effect status, panel visibility, host-process launch status, and future-gate requirements.</w:t>
      </w:r>
    </w:p>
    <w:p>
      <w:pPr>
        <w:pStyle w:val="ListBullet"/>
      </w:pPr>
      <w:r>
        <w:t>The current report surface is ready-report-only: command registry no-effect is preserved, host process launch is denied, and execution, host mutation, network, runtime enforcement, and boot authority remain zero.</w:t>
      </w:r>
    </w:p>
    <w:p>
      <w:pPr>
        <w:pStyle w:val="ListBullet"/>
      </w:pPr>
      <w:r>
        <w:t>Future host embedding and OS-base directions are planning profiles only; they do not replace a host OS, launch shell commands, or create boot/runtime authority.</w:t>
      </w:r>
    </w:p>
    <w:p>
      <w:pPr>
        <w:pStyle w:val="Heading2"/>
      </w:pPr>
      <w:r>
        <w:t>4.4 Nucleus and Nadia as AI-era boundary surfaces</w:t>
      </w:r>
    </w:p>
    <w:p>
      <w:pPr>
        <w:pStyle w:val="BodyTight"/>
      </w:pPr>
      <w:r>
        <w:t>Nucleus and Nadia extend the substrate into AI-era work, but only as boundary surfaces first. Their value is not that they make the project autonomous today; it is that they force task requests, prompt chains, tokenizer artifacts, model readiness, tool authority, and future runtime entry points into explicit metadata before any effect-performing behavior can exist.</w:t>
      </w:r>
    </w:p>
    <w:p>
      <w:pPr>
        <w:pStyle w:val="ListBullet"/>
      </w:pPr>
      <w:r>
        <w:t>Nucleus currently records classification and policy posture for task-shaped requests. Its report refinements make execution_status=not-executed, effect_status=report-only, runtime_status=not-entered, no_effect_policy=preserved, and representation_gate=language-representation-reviewed visible in deterministic output.</w:t>
      </w:r>
    </w:p>
    <w:p>
      <w:pPr>
        <w:pStyle w:val="ListBullet"/>
      </w:pPr>
      <w:r>
        <w:t>Nadia is an optional offline-AI foundation, not an active AI assistant. Stage-0 through Stage-27 establish identity, Panel and Console surfaces, local context metadata, runtime/profile contracts, prompt and model contracts, tokenizer artifact contracts, prompt-tokenization contracts, and prompt-token-sequence contracts, and context-window assembly contracts while keeping model runtime, prompt reading, token creation, context-window assembly, prompt-evaluation-input creation, inference, dialogue generation, network access, source mutation, and tool execution denied.</w:t>
      </w:r>
    </w:p>
    <w:p>
      <w:pPr>
        <w:pStyle w:val="ListBullet"/>
      </w:pPr>
      <w:r>
        <w:t>The shared rule is evidence before capability. A future AI-adjacent command must pass through command-registry metadata, Nucleus task records, Runtime Boundary labels, Seal report surfaces, and explicit tests before any authority widens.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2"/>
      </w:pPr>
      <w:r>
        <w:rPr>
          <w:rFonts w:ascii="Liberation Serif" w:hAnsi="Liberation Serif" w:eastAsia="Liberation Serif"/>
        </w:rPr>
        <w:t>5.6 Seal trust and crypto metadata ladder</w:t>
      </w:r>
    </w:p>
    <w:p>
      <w:pPr>
        <w:pStyle w:val="BodyTight"/>
      </w:pPr>
      <w:r>
        <w:rPr>
          <w:rFonts w:ascii="Liberation Serif" w:hAnsi="Liberation Serif" w:eastAsia="Liberation Serif"/>
        </w:rPr>
        <w:t>Seal now has enough trust-adjacent contract surface to name a ladder without pretending the ladder already grants authority. The stages are signed request metadata, request freshness metadata, verification policy metadata, verification receipt metadata, crypto verify backend metadata, Ed25519 verify-only result metadata, verified receipt promotion metadata, verified capability gate metadata, effect decision metadata, runtime handoff metadata, and report envelope metadata. Each stage records the next question before the project is allowed to answer it with effects.</w:t>
      </w:r>
    </w:p>
    <w:p>
      <w:pPr>
        <w:pStyle w:val="BodyTight"/>
      </w:pPr>
      <w:r>
        <w:rPr>
          <w:rFonts w:ascii="Liberation Serif" w:hAnsi="Liberation Serif" w:eastAsia="Liberation Serif"/>
        </w:rPr>
        <w:t>Signed request records may describe identity, context, parameters, freshness, policy binding, algorithms, key identifiers, and signature hashes, but the signed-request posture is still report-only. Signature generation, signed-request verification, public trust lookup, revocation lookup, signed-request enforcement, host effects, and runtime authority remain zero claims even though a separate local verify-only primitive now exists.</w:t>
      </w:r>
    </w:p>
    <w:p>
      <w:pPr>
        <w:pStyle w:val="BodyTight"/>
      </w:pPr>
      <w:r>
        <w:rPr>
          <w:rFonts w:ascii="Liberation Serif" w:hAnsi="Liberation Serif" w:eastAsia="Liberation Serif"/>
        </w:rPr>
        <w:t>Verification receipts are intentionally weaker than authority. The baseline receipt profile records unverified metadata: verification_state=unsupported, receipt_state=unverified-metadata, cryptographic_verification_performed=0, verified=0, authority_usable=0, capability_gate_allowed=0, and runtime_authority_granted=0. A later verified receipt promotion may change the evidence state to verified, but not the permission state.</w:t>
      </w:r>
    </w:p>
    <w:p>
      <w:pPr>
        <w:pStyle w:val="BodyTight"/>
      </w:pPr>
      <w:r>
        <w:rPr>
          <w:rFonts w:ascii="Liberation Serif" w:hAnsi="Liberation Serif" w:eastAsia="Liberation Serif"/>
        </w:rPr>
        <w:t>The crypto verify backend remains the metadata boundary that names the provider path. The later Ed25519 verify-only result surface is separate: it can perform a local provider-backed verification over caller-supplied bytes, while the backend contract still carries no trust store, revocation lookup, network behavior, capability authorization, or runtime authority. Post-quantum algorithm labels such as ML-DSA-planned and SLH-DSA-planned remain roadmap vocabulary, not current verification support.</w:t>
      </w:r>
    </w:p>
    <w:p>
      <w:pPr>
        <w:pStyle w:val="BodyTight"/>
      </w:pPr>
      <w:r>
        <w:rPr>
          <w:rFonts w:ascii="Liberation Serif" w:hAnsi="Liberation Serif" w:eastAsia="Liberation Serif"/>
        </w:rPr>
        <w:t>Capability gates and effect decisions close the ladder. A verified capability gate may now set gate_allowed=1 for a narrow metadata-only report/evaluate request, but effect_allowed, effect_performed, host_read_performed, host_write_performed, network_performed, and runtime_authority_granted must remain zero unless a later effect-decision contract, implementation, and tests explicitly widen that boundary.</w:t>
      </w:r>
    </w:p>
    <w:p>
      <w:pPr>
        <w:pStyle w:val="Heading2"/>
      </w:pPr>
      <w:r>
        <w:rPr>
          <w:rFonts w:ascii="Liberation Serif" w:hAnsi="Liberation Serif" w:eastAsia="Liberation Serif"/>
        </w:rPr>
        <w:t>5.7 Ed25519 verify-only and verified receipt promotion</w:t>
      </w:r>
    </w:p>
    <w:p>
      <w:pPr>
        <w:pStyle w:val="BodyTight"/>
      </w:pPr>
      <w:r>
        <w:rPr>
          <w:rFonts w:ascii="Liberation Serif" w:hAnsi="Liberation Serif" w:eastAsia="Liberation Serif"/>
        </w:rPr>
        <w:t>The first real cryptographic operation in the current Seal lane is local Ed25519 verify-only. It accepts caller-supplied message bytes, caller-supplied 32-byte Ed25519 public-key bytes, caller-supplied 64-byte signature bytes, and an existing crypto verify backend metadata record. It uses OpenSSL EVP rather than handwritten curve arithmetic, computes a SHA-256 message digest for reporting, and renders deterministic result metadata.</w:t>
      </w:r>
    </w:p>
    <w:p>
      <w:pPr>
        <w:pStyle w:val="BodyTight"/>
      </w:pPr>
      <w:r>
        <w:rPr>
          <w:rFonts w:ascii="Liberation Serif" w:hAnsi="Liberation Serif" w:eastAsia="Liberation Serif"/>
        </w:rPr>
        <w:t>A successful verify-only result may set crypto_verify_state=verified, cryptographic_verification_supported=1, cryptographic_verification_performed=1, verified=1, invalid=0, and status=ed25519-verified. That is a meaningful evidence upgrade, but it is not a trust-store result, not revocation checking, not signing, not private-key handling, not production cryptography certification, and not authority.</w:t>
      </w:r>
    </w:p>
    <w:p>
      <w:pPr>
        <w:pStyle w:val="BodyTight"/>
      </w:pPr>
      <w:r>
        <w:rPr>
          <w:rFonts w:ascii="Liberation Serif" w:hAnsi="Liberation Serif" w:eastAsia="Liberation Serif"/>
        </w:rPr>
        <w:t>Verified receipt promotion consumes only a successful Ed25519 verify-only result and turns it into deterministic verified receipt metadata: verification_state=verified, receipt_state=verified, cryptographic_verification_performed=1, and verified=1. The promotion is evidence promotion, not permission promotion. It must preserve authority_usable=0, capability_gate_allowed=0, runtime_authority_granted=0, capability_authorization_added=0, effect_execution_added=0, host behavior unchanged, and network behavior unchanged.</w:t>
      </w:r>
    </w:p>
    <w:p>
      <w:pPr>
        <w:pStyle w:val="BodyTight"/>
      </w:pPr>
      <w:r>
        <w:rPr>
          <w:rFonts w:ascii="Liberation Serif" w:hAnsi="Liberation Serif" w:eastAsia="Liberation Serif"/>
        </w:rPr>
        <w:t>This distinction is now central to the Seal story. Latticra can say that local verify-only evidence and authority-neutral verified receipt metadata exist. It still must not say that verified receipts authorize capabilities, execute effects, contact trust infrastructure, enforce runtime behavior, or make production security claims.</w:t>
      </w:r>
    </w:p>
    <w:p>
      <w:pPr>
        <w:pStyle w:val="Heading2"/>
      </w:pPr>
      <w:r>
        <w:rPr>
          <w:rFonts w:ascii="Liberation Serif" w:hAnsi="Liberation Serif" w:eastAsia="Liberation Serif"/>
        </w:rPr>
        <w:t>5.8 Verified capability gate metadata</w:t>
      </w:r>
    </w:p>
    <w:p>
      <w:pPr>
        <w:pStyle w:val="BodyTight"/>
      </w:pPr>
      <w:r>
        <w:rPr>
          <w:rFonts w:ascii="Liberation Serif" w:hAnsi="Liberation Serif" w:eastAsia="Liberation Serif"/>
        </w:rPr>
        <w:t>The verified capability gate consumes verified receipt promotion metadata plus requested capability, effect, and scope labels. Its initial allowlist is intentionally narrow: verified-receipt-inspection and verified-receipt-report as capability labels, and report-only or evaluate-only as effect labels.</w:t>
      </w:r>
    </w:p>
    <w:p>
      <w:pPr>
        <w:pStyle w:val="BodyTight"/>
      </w:pPr>
      <w:r>
        <w:rPr>
          <w:rFonts w:ascii="Liberation Serif" w:hAnsi="Liberation Serif" w:eastAsia="Liberation Serif"/>
        </w:rPr>
        <w:t>A successful metadata-only gate may set gate_allowed=1 and gate_state=allowed-metadata-only. That phrase must be read literally. It means the gate evaluation accepted a local metadata request; it does not mean capability enforcement, effect execution, host reads, host writes, network access, tool execution, shell execution, policy persistence, or runtime authority.</w:t>
      </w:r>
    </w:p>
    <w:p>
      <w:pPr>
        <w:pStyle w:val="BodyTight"/>
      </w:pPr>
      <w:r>
        <w:rPr>
          <w:rFonts w:ascii="Liberation Serif" w:hAnsi="Liberation Serif" w:eastAsia="Liberation Serif"/>
        </w:rPr>
        <w:t>The current status shape is therefore subtle and useful: receipt_state=verified, verification_state=verified, verified=1, gate_allowed=1, gate_state=allowed-metadata-only, authority_usable=0, receipt_capability_gate_allowed=0, runtime_authority_granted=0, effect_performed=0, host_read_performed=0, host_write_performed=0, and network_performed=0. The next valid rung is effect-decision evaluation from an allowed metadata-only gate.</w:t>
      </w: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2"/>
      </w:pPr>
      <w:r>
        <w:t>6.4 Platform install lanes</w:t>
      </w:r>
    </w:p>
    <w:p>
      <w:pPr>
        <w:pStyle w:val="BodyTight"/>
      </w:pPr>
      <w:r>
        <w:t>Platform install work belongs in the substrate only when the target, authority, transcript, and rollback story are named. Latticra now has enough macOS and Fedora evidence to describe platform lanes, but the lanes remain deliberately short of production installer readiness.</w:t>
      </w:r>
    </w:p>
    <w:p>
      <w:pPr>
        <w:pStyle w:val="ListBullet"/>
      </w:pPr>
      <w:r>
        <w:t>The macOS lane is user-local and no-effect today: app bundle writer dry-runs, local candidate probes, commit-gate reports, reset/uninstall dry-run contracts, and verification-transcript contracts define what a future managed writer must prove before any app bundle or Application Support file is written.</w:t>
      </w:r>
    </w:p>
    <w:p>
      <w:pPr>
        <w:pStyle w:val="ListBullet"/>
      </w:pPr>
      <w:r>
        <w:t>The Fedora lane distinguishes controlled installroot and disposable-VM RPM validation from live-host installation. It can build or inspect local RPM payloads under explicit gates, but Fedora approval, immutable-host support, daily-driver readiness, and production installer readiness stay false.</w:t>
      </w:r>
    </w:p>
    <w:p>
      <w:pPr>
        <w:pStyle w:val="ListBullet"/>
      </w:pPr>
      <w:r>
        <w:t>The production installer readiness contract is the promotion boundary. It requires reproducible artifacts, checksums, signatures, SBOM/license metadata, install/uninstall/rollback transcripts, unsupported-target blocking, multi-VM validation, and public non-claims before production_installer_ready can ever become 1.</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25 notes, the Lat path is parser -&gt; semantic validation -&gt; normalized model -&gt; model-aware Lat-to-LIR lowering -&gt; pipeline and diagnostic reports. This gives the project a stronger internal story than a raw parser: declarations, clauses, transition sources, operators, and first-item report metadata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2"/>
      </w:pPr>
      <w:r>
        <w:rPr>
          <w:rFonts w:ascii="Liberation Serif" w:hAnsi="Liberation Serif" w:eastAsia="Liberation Serif"/>
        </w:rPr>
        <w:t>11.4 Verification receipts and authority handoff</w:t>
      </w:r>
    </w:p>
    <w:p>
      <w:pPr>
        <w:pStyle w:val="BodyTight"/>
      </w:pPr>
      <w:r>
        <w:rPr>
          <w:rFonts w:ascii="Liberation Serif" w:hAnsi="Liberation Serif" w:eastAsia="Liberation Serif"/>
        </w:rPr>
        <w:t>A verification receipt should be treated as a witness object in the graph, not as a permission slip. It records the relationship among artifact digest, signature profile, signer identity label, public-key identity label, verification policy profile, requested receipt mode, and verification state.</w:t>
      </w:r>
    </w:p>
    <w:p>
      <w:pPr>
        <w:pStyle w:val="BodyTight"/>
      </w:pPr>
      <w:r>
        <w:rPr>
          <w:rFonts w:ascii="Liberation Serif" w:hAnsi="Liberation Serif" w:eastAsia="Liberation Serif"/>
        </w:rPr>
        <w:t>The handoff rule is deliberately segmented: signature metadata is not verification; verification is not a receipt; a receipt is not a capability gate; a capability gate is not an effect decision; an effect decision is not runtime handoff; and runtime handoff is not host enforcement. Keeping those nouns separate prevents one implemented layer from borrowing the authority of a future layer.</w:t>
      </w:r>
    </w:p>
    <w:p>
      <w:pPr>
        <w:pStyle w:val="BodyTight"/>
      </w:pPr>
      <w:r>
        <w:rPr>
          <w:rFonts w:ascii="Liberation Serif" w:hAnsi="Liberation Serif" w:eastAsia="Liberation Serif"/>
        </w:rPr>
        <w:t>This also gives reviewers a concrete audit path. If a report claims authority, the witness graph should show a verified receipt, an allowed capability gate, an allowed effect decision, a performed runtime handoff, and explicit evidence for the effect. If any predecessor is missing or unsupported, public wording must fall back to metadata-only, report-only, or denied-by-default language.</w:t>
      </w:r>
    </w:p>
    <w:p>
      <w:pPr>
        <w:pStyle w:val="Heading2"/>
      </w:pPr>
      <w:r>
        <w:rPr>
          <w:rFonts w:ascii="Liberation Serif" w:hAnsi="Liberation Serif" w:eastAsia="Liberation Serif"/>
        </w:rPr>
        <w:t>11.5 Verified evidence is not permission</w:t>
      </w:r>
    </w:p>
    <w:p>
      <w:pPr>
        <w:pStyle w:val="BodyTight"/>
      </w:pPr>
      <w:r>
        <w:rPr>
          <w:rFonts w:ascii="Liberation Serif" w:hAnsi="Liberation Serif" w:eastAsia="Liberation Serif"/>
        </w:rPr>
        <w:t>The Ed25519 verify-only result changes the witness graph because a report can now contain a real local cryptographic verification result. That result should still be read narrowly: it says the supplied signature matched the supplied message and public key under the local provider boundary.</w:t>
      </w:r>
    </w:p>
    <w:p>
      <w:pPr>
        <w:pStyle w:val="BodyTight"/>
      </w:pPr>
      <w:r>
        <w:rPr>
          <w:rFonts w:ascii="Liberation Serif" w:hAnsi="Liberation Serif" w:eastAsia="Liberation Serif"/>
        </w:rPr>
        <w:t>It does not say the public key is trusted, current, non-revoked, authorized for a capability, or allowed to drive a host effect. Those are different witness edges. A future trust-store edge, revocation edge, capability-gate edge, effect-decision edge, and runtime-handoff edge would each need its own schema, implementation, tests, and public wording.</w:t>
      </w:r>
    </w:p>
    <w:p>
      <w:pPr>
        <w:pStyle w:val="BodyTight"/>
      </w:pPr>
      <w:r>
        <w:rPr>
          <w:rFonts w:ascii="Liberation Serif" w:hAnsi="Liberation Serif" w:eastAsia="Liberation Serif"/>
        </w:rPr>
        <w:t>Verified receipt promotion is therefore useful precisely because it gives the graph a named middle state. A promoted receipt is stronger than unverified metadata, but weaker than authority. Reviewers should treat authority_usable=0 and capability_gate_allowed=0 as part of the receipt meaning, not as incidental implementation details.</w:t>
      </w:r>
    </w:p>
    <w:p>
      <w:pPr>
        <w:pStyle w:val="Heading2"/>
      </w:pPr>
      <w:r>
        <w:rPr>
          <w:rFonts w:ascii="Liberation Serif" w:hAnsi="Liberation Serif" w:eastAsia="Liberation Serif"/>
        </w:rPr>
        <w:t>11.6 Metadata gates before effects</w:t>
      </w:r>
    </w:p>
    <w:p>
      <w:pPr>
        <w:pStyle w:val="BodyTight"/>
      </w:pPr>
      <w:r>
        <w:rPr>
          <w:rFonts w:ascii="Liberation Serif" w:hAnsi="Liberation Serif" w:eastAsia="Liberation Serif"/>
        </w:rPr>
        <w:t>The verified capability gate adds another witness edge between a promoted receipt and an effect decision. Its allowed state is still metadata-only: gate_allowed=1 is not the same as an effect being allowed, performed, or handed to a runtime.</w:t>
      </w:r>
    </w:p>
    <w:p>
      <w:pPr>
        <w:pStyle w:val="BodyTight"/>
      </w:pPr>
      <w:r>
        <w:rPr>
          <w:rFonts w:ascii="Liberation Serif" w:hAnsi="Liberation Serif" w:eastAsia="Liberation Serif"/>
        </w:rPr>
        <w:t>This gives reviewers a sharper audit rule. A record may show verified receipt evidence and an allowed metadata gate while still proving that no host read, host write, network access, tool execution, shell execution, capability enforcement, or runtime authority occurred. That is not contradiction; it is the point of the staged witness graph.</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2"/>
      </w:pPr>
      <w:r>
        <w:t>12.5 AI-era authority and prompt-chain non-goals</w:t>
      </w:r>
    </w:p>
    <w:p>
      <w:pPr>
        <w:pStyle w:val="BodyTight"/>
      </w:pPr>
      <w:r>
        <w:t>AI-facing vocabulary can sound operational long before the system has authority to act. Latticra should therefore treat prompts, tokenizers, model registries, context windows, tool preflights, and task runners as authority-bearing surfaces even when every current implementation remains metadata-only.</w:t>
      </w:r>
    </w:p>
    <w:p>
      <w:pPr>
        <w:pStyle w:val="ListBullet"/>
      </w:pPr>
      <w:r>
        <w:t>A prompt contract is not prompt evaluation. It may describe source policy, inherited safety requirements, and promotion gates, but it must not imply prompt text receipt, prompt reading, prompt materialization, token creation, runtime invocation, inference, dialogue generation, or tool execution.</w:t>
      </w:r>
    </w:p>
    <w:p>
      <w:pPr>
        <w:pStyle w:val="ListBullet"/>
      </w:pPr>
      <w:r>
        <w:t>A tokenizer or model contract is not a loaded model. It may describe expected evidence, review fields, and future compatibility, but it must not open tokenizer files, read vocabularies, hash artifacts, attach tokenizers, create runtime sessions, or select model weights unless that behavior is separately implemented and guarded.</w:t>
      </w:r>
    </w:p>
    <w:p>
      <w:pPr>
        <w:pStyle w:val="ListBullet"/>
      </w:pPr>
      <w:r>
        <w:t>A task record is not task execution. Nucleus may classify, deny, preview, and report, but current records must not mutate state, call a shell, use the network, perform server interaction, recover a host, touch hardware, or enter runtime behavior.</w:t>
      </w:r>
    </w:p>
    <w:p>
      <w:pPr>
        <w:pStyle w:val="Heading2"/>
      </w:pPr>
      <w:r>
        <w:t>12.6 Host-platform and installer non-goals</w:t>
      </w:r>
    </w:p>
    <w:p>
      <w:pPr>
        <w:pStyle w:val="BodyTight"/>
      </w:pPr>
      <w:r>
        <w:t>Host-platform evidence is especially easy to overread. A dry-run writer, package validation lane, or readiness contract is not the same thing as a supported installer. The handbook should keep those meanings separate.</w:t>
      </w:r>
    </w:p>
    <w:p>
      <w:pPr>
        <w:pStyle w:val="ListBullet"/>
      </w:pPr>
      <w:r>
        <w:t>A macOS user-local contract may name $HOME/Applications, Application Support, wrappers, receipts, managed markers, and verification transcript lines, but it must not imply notarization, signing, launchd authority, Keychain access, TCC approval, Endpoint Security, System Extensions, Network Extensions, privileged helpers, or Apple platform approval.</w:t>
      </w:r>
    </w:p>
    <w:p>
      <w:pPr>
        <w:pStyle w:val="ListBullet"/>
      </w:pPr>
      <w:r>
        <w:t>A Fedora RPM lifecycle lane may mutate a temporary installroot or disposable VM under explicit gates, but it must not imply live developer-host mutation, sudo readiness, Fedora distribution acceptance, immutable Fedora support, service activation, kernel modules, SELinux policy, boot changes, or daily-driver eligibility.</w:t>
      </w:r>
    </w:p>
    <w:p>
      <w:pPr>
        <w:pStyle w:val="ListBullet"/>
      </w:pPr>
      <w:r>
        <w:t>Installer language must preserve the evidence level: dry-run, contract, installroot, disposable VM, manual release-candidate checklist, and production installer readiness are different claims and should never collapse into one public sentence.</w:t>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2"/>
      </w:pPr>
      <w:r>
        <w:t>13.4 Latticra Console registry contract</w:t>
      </w:r>
    </w:p>
    <w:p>
      <w:pPr>
        <w:pStyle w:val="BodyTight"/>
      </w:pPr>
      <w:r>
        <w:t>LC turns the command-contract idea into an explicit registry surface. A command is not just a string in a help menu; it is a metadata record that can be reviewed by Panel, Runtime Boundary, Seal, docs, and future tooling before any host-facing behavior exists.</w:t>
      </w:r>
    </w:p>
    <w:p>
      <w:pPr>
        <w:pStyle w:val="ListBullet"/>
      </w:pPr>
      <w:r>
        <w:t>Allowed Stage-0 commands are help, status, plan, save, dry-run, reset, uninstall, clear, LC inspection commands, and navigation placeholders, all under a metadata/report boundary.</w:t>
      </w:r>
    </w:p>
    <w:p>
      <w:pPr>
        <w:pStyle w:val="ListBullet"/>
      </w:pPr>
      <w:r>
        <w:t>The registry-backed help and manpage renderers expose command names, categories, effects, and capability labels from the same seed metadata used by installed wrappers.</w:t>
      </w:r>
    </w:p>
    <w:p>
      <w:pPr>
        <w:pStyle w:val="ListBullet"/>
      </w:pPr>
      <w:r>
        <w:t>Future-facing commands such as lc host and lc os are intentionally future-gated: they can describe planned authority boundaries, but they cannot launch host processes or claim OS-base behavior.</w:t>
      </w:r>
    </w:p>
    <w:p>
      <w:pPr>
        <w:pStyle w:val="ListBullet"/>
      </w:pPr>
      <w:r>
        <w:t>The review rule is simple: adding a command means adding its effect label, capability label, no-effect flag, future-gate status, report surface, and denial behavior before widening authority.</w:t>
      </w:r>
    </w:p>
    <w:p>
      <w:pPr>
        <w:pStyle w:val="Heading2"/>
      </w:pPr>
      <w:r>
        <w:t>13.5 Nucleus and Nadia command surfaces</w:t>
      </w:r>
    </w:p>
    <w:p>
      <w:pPr>
        <w:pStyle w:val="BodyTight"/>
      </w:pPr>
      <w:r>
        <w:t>The Nucleus and Nadia command surfaces should be read as report producers and contract generators. Their command names are intentionally useful to operators, but the commands remain bounded by the metadata they emit and by the authority they explicitly do not have.</w:t>
      </w:r>
    </w:p>
    <w:p>
      <w:pPr>
        <w:pStyle w:val="ListBullet"/>
      </w:pPr>
      <w:r>
        <w:t>Nucleus commands must expose request kind, effect label, policy result, denial reason, execution status, effect status, runtime status, no-effect policy, and representation gate. A successful report is not proof that a task ran; it is proof that the boundary was classified.</w:t>
      </w:r>
    </w:p>
    <w:p>
      <w:pPr>
        <w:pStyle w:val="ListBullet"/>
      </w:pPr>
      <w:r>
        <w:t>Nadia commands under the embedded Console and installed latticra-nadia wrapper must keep the current stage visible. Status, context-pack, runtime-profile, prompt-plan, tool-preflight, prompt, model, tokenizer, token-sequence, and context-window commands are metadata or contract surfaces until a later contract proves otherwise.</w:t>
      </w:r>
    </w:p>
    <w:p>
      <w:pPr>
        <w:pStyle w:val="ListBullet"/>
      </w:pPr>
      <w:r>
        <w:t>Command review should reject any help text, status output, README prose, or Panel label that implies autonomous coding, model inference, prompt evaluation, tokenizer attachment, runtime sessions, network access, source mutation, or tool execution ahead of evidence.</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2"/>
      </w:pPr>
      <w:r>
        <w:t>14.5 Prompt and tokenizer metadata ladder</w:t>
      </w:r>
    </w:p>
    <w:p>
      <w:pPr>
        <w:pStyle w:val="BodyTight"/>
      </w:pPr>
      <w:r>
        <w:t>Nadia gives the handbook a concrete example of schema-first AI design. Each stage records the next boundary without crossing it, so the ladder is useful even before inference exists.</w:t>
      </w:r>
    </w:p>
    <w:p>
      <w:pPr>
        <w:pStyle w:val="ListBullet"/>
      </w:pPr>
      <w:r>
        <w:t>Foundation and local-context records bind component identity, local install paths, context-pack generation, runtime profile metadata, workbench plans, mode labels, and productivity-ledger vocabulary to local, operator-invoked evidence.</w:t>
      </w:r>
    </w:p>
    <w:p>
      <w:pPr>
        <w:pStyle w:val="ListBullet"/>
      </w:pPr>
      <w:r>
        <w:t>Prompt and model records bind prompt-evaluation contracts, local model registry contracts, inference-readiness contracts, runtime-invocation contracts, model-load contracts, prompt receipts, prompt materialization, and prompt-evaluation handoff to denied runtime authority.</w:t>
      </w:r>
    </w:p>
    <w:p>
      <w:pPr>
        <w:pStyle w:val="ListBullet"/>
      </w:pPr>
      <w:r>
        <w:t>Tokenizer records bind tokenizer specification, manifest, artifact inventory, measurement, verification, binding, and runtime-attachment contracts without opening tokenizer files, loading vocabularies, attaching tokenizers, or creating runtime sessions.</w:t>
      </w:r>
    </w:p>
    <w:p>
      <w:pPr>
        <w:pStyle w:val="ListBullet"/>
      </w:pPr>
      <w:r>
        <w:t>Prompt-tokenization and prompt-token-sequence records reserve the future shape of token count, token order, offsets, masks, and position IDs; Stage-27 context-window records then reserve future context-window layout, token budget, truncation, and prompt-evaluation-input requirements while explicitly recording that those values are not produced today.</w:t>
      </w:r>
    </w:p>
    <w:p>
      <w:pPr>
        <w:pStyle w:val="Heading2"/>
      </w:pPr>
      <w:r>
        <w:rPr>
          <w:rFonts w:ascii="Liberation Serif" w:hAnsi="Liberation Serif" w:eastAsia="Liberation Serif"/>
        </w:rPr>
        <w:t>14.6 Seal trust metadata schemas</w:t>
      </w:r>
    </w:p>
    <w:p>
      <w:pPr>
        <w:pStyle w:val="BodyTight"/>
      </w:pPr>
      <w:r>
        <w:rPr>
          <w:rFonts w:ascii="Liberation Serif" w:hAnsi="Liberation Serif" w:eastAsia="Liberation Serif"/>
        </w:rPr>
        <w:t>The trust ladder should use small, stable key/value schemas before it grows richer object formats. The current schema vocabulary includes signed_request_profile, freshness_profile, receipt_profile, verify_profile, ed25519_verify_profile, verification_policy_profile, backend_profile, gate_profile, decision_profile, signature_profile, manifest_profile, artifact_digest_algorithm, message_digest_algorithm, signer_identity_label, public_key_identity_label, trust_source, requested_capability, requested_effect, requested_scope, and status.</w:t>
      </w:r>
    </w:p>
    <w:p>
      <w:pPr>
        <w:pStyle w:val="BodyTight"/>
      </w:pPr>
      <w:r>
        <w:rPr>
          <w:rFonts w:ascii="Liberation Serif" w:hAnsi="Liberation Serif" w:eastAsia="Liberation Serif"/>
        </w:rPr>
        <w:t>State fields should remain explicit even when the value is a denial. The important fields include signed_request_supported, signature_present, signature_valid, request_freshness_supported, replay_protection_supported, verification_state, receipt_state, crypto_verify_state, verified, invalid, authority_usable, capability_gate_allowed, gate_state, gate_allowed, decision_state, effect_allowed, effect_performed, and runtime_authority_granted.</w:t>
      </w:r>
    </w:p>
    <w:p>
      <w:pPr>
        <w:pStyle w:val="BodyTight"/>
      </w:pPr>
      <w:r>
        <w:rPr>
          <w:rFonts w:ascii="Liberation Serif" w:hAnsi="Liberation Serif" w:eastAsia="Liberation Serif"/>
        </w:rPr>
        <w:t>Effect fields must not disappear when false. Report consumers should see host_read_performed=0, host_write_performed=0, network_performed=0, cryptographic_verification_performed=0, verification_performed=0, signature_performed=0, signer_invoked=0, trust_store_loaded=0, revocation_lookup_performed=0, key_material_loaded=0, private_key_handling=0, capability_enforcement_performed=0, and runtime_handoff_performed=0 where the corresponding layer is in scope.</w:t>
      </w:r>
    </w:p>
    <w:p>
      <w:pPr>
        <w:pStyle w:val="BodyTight"/>
      </w:pPr>
      <w:r>
        <w:rPr>
          <w:rFonts w:ascii="Liberation Serif" w:hAnsi="Liberation Serif" w:eastAsia="Liberation Serif"/>
        </w:rPr>
        <w:t>The schema rule is simple: a future field may reserve vocabulary, but a current field must not imply capability. If the project adds trust stores, revocation checks, signed envelopes, capability authorization, effect execution, or production cryptography claims later, each transition should change only after a contract, implementation, invariant tests, status record, public wording update, and handbook update are in place.</w:t>
      </w:r>
    </w:p>
    <w:p>
      <w:pPr>
        <w:pStyle w:val="Heading2"/>
      </w:pPr>
      <w:r>
        <w:rPr>
          <w:rFonts w:ascii="Liberation Serif" w:hAnsi="Liberation Serif" w:eastAsia="Liberation Serif"/>
        </w:rPr>
        <w:t>14.7 Verify-only result and promoted receipt schemas</w:t>
      </w:r>
    </w:p>
    <w:p>
      <w:pPr>
        <w:pStyle w:val="BodyTight"/>
      </w:pPr>
      <w:r>
        <w:rPr>
          <w:rFonts w:ascii="Liberation Serif" w:hAnsi="Liberation Serif" w:eastAsia="Liberation Serif"/>
        </w:rPr>
        <w:t>The Ed25519 verify-only result schema is the first place where cryptographic verification fields can legitimately become one. Its key fields are ed25519_verify_profile, backend_profile, verification_policy_profile, message_label, message_size_bytes, message_digest_algorithm, message_digest_hex, public_key_identity_label, public_key_size_bytes, signature_algorithm, signature_size_bytes, trust_source, crypto_verify_state, cryptographic_verification_supported, cryptographic_verification_performed, verified, invalid, authority_usable, capability_gate_allowed, runtime_authority_granted, and status.</w:t>
      </w:r>
    </w:p>
    <w:p>
      <w:pPr>
        <w:pStyle w:val="BodyTight"/>
      </w:pPr>
      <w:r>
        <w:rPr>
          <w:rFonts w:ascii="Liberation Serif" w:hAnsi="Liberation Serif" w:eastAsia="Liberation Serif"/>
        </w:rPr>
        <w:t>The promoted receipt schema copies the evidence-bearing fields into receipt form and changes the receipt state, not the authority state. Its important fields include receipt_profile, verify_profile, backend_profile, verification_policy_profile, message_label, message_digest_algorithm, message_digest_hex, public_key_identity_label, signature_algorithm, trust_source, verification_state=verified, receipt_state=verified, verified=1, authority_usable=0, capability_gate_allowed=0, runtime_authority_granted=0, mode=verified-receipt-authority-neutral, and status=verified-receipt-metadata.</w:t>
      </w:r>
    </w:p>
    <w:p>
      <w:pPr>
        <w:pStyle w:val="BodyTight"/>
      </w:pPr>
      <w:r>
        <w:rPr>
          <w:rFonts w:ascii="Liberation Serif" w:hAnsi="Liberation Serif" w:eastAsia="Liberation Serif"/>
        </w:rPr>
        <w:t>Schema consumers should distinguish mathematical verification from trust. The current trust_source=local-test-vector label is evidence about the fixture boundary, not a trust root, revocation service, certificate chain, or production identity system.</w:t>
      </w:r>
    </w:p>
    <w:p>
      <w:pPr>
        <w:pStyle w:val="Heading2"/>
      </w:pPr>
      <w:r>
        <w:rPr>
          <w:rFonts w:ascii="Liberation Serif" w:hAnsi="Liberation Serif" w:eastAsia="Liberation Serif"/>
        </w:rPr>
        <w:t>14.8 Verified capability gate schema</w:t>
      </w:r>
    </w:p>
    <w:p>
      <w:pPr>
        <w:pStyle w:val="BodyTight"/>
      </w:pPr>
      <w:r>
        <w:rPr>
          <w:rFonts w:ascii="Liberation Serif" w:hAnsi="Liberation Serif" w:eastAsia="Liberation Serif"/>
        </w:rPr>
        <w:t>The verified capability gate schema binds a verified receipt to a requested metadata capability without crossing into enforcement. Core fields include gate_profile, receipt_profile, verify_profile, message_digest_algorithm, message_digest_hex, public_key_identity_label, receipt_state, verification_state, requested_capability, requested_effect, requested_scope, verified, authority_usable, receipt_capability_gate_allowed, gate_allowed, gate_state, runtime_authority_granted, effect_performed, host_read_performed, host_write_performed, network_performed, and status.</w:t>
      </w:r>
    </w:p>
    <w:p>
      <w:pPr>
        <w:pStyle w:val="BodyTight"/>
      </w:pPr>
      <w:r>
        <w:rPr>
          <w:rFonts w:ascii="Liberation Serif" w:hAnsi="Liberation Serif" w:eastAsia="Liberation Serif"/>
        </w:rPr>
        <w:t>The important distinction is that gate_allowed=1 and gate_state=allowed-metadata-only may coexist with authority_usable=0, receipt_capability_gate_allowed=0, runtime_authority_granted=0, and effect_performed=0. Schema consumers must not collapse metadata permission into runtime permission.</w:t>
      </w: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2"/>
      </w:pPr>
      <w:r>
        <w:t>15.4 Nucleus and Nadia validation lanes</w:t>
      </w:r>
    </w:p>
    <w:p>
      <w:pPr>
        <w:pStyle w:val="BodyTight"/>
      </w:pPr>
      <w:r>
        <w:t>The AI-era validation lane should prove non-effects as aggressively as it proves positive metadata. The important evidence is often the zero: no runtime entered, no prompt read, no model loaded, no tokenizer opened, no task executed, and no tool authority granted.</w:t>
      </w:r>
    </w:p>
    <w:p>
      <w:pPr>
        <w:pStyle w:val="ListBullet"/>
      </w:pPr>
      <w:r>
        <w:t>Nucleus focused tests should keep report-only execution labels, no-effect alignment labels, future-gated behavior, denied mutations, and disabled server/recovery/hardware/runtime behavior stable across refactors.</w:t>
      </w:r>
    </w:p>
    <w:p>
      <w:pPr>
        <w:pStyle w:val="ListBullet"/>
      </w:pPr>
      <w:r>
        <w:t>Nadia focused tests should cover Stage-0 through Stage-27 contract outputs, inherited protective-safety fields, installed command names, Panel/Console metadata, and denial fields for model, tokenizer, prompt, runtime, network, source-mutation, and tool authority.</w:t>
      </w:r>
    </w:p>
    <w:p>
      <w:pPr>
        <w:pStyle w:val="ListBullet"/>
      </w:pPr>
      <w:r>
        <w:t>A failing validation lane should weaken public wording before it widens capability. In this substrate, conservative status is a feature, not a lack of ambition.</w:t>
      </w:r>
    </w:p>
    <w:p>
      <w:pPr>
        <w:pStyle w:val="Heading2"/>
      </w:pPr>
      <w:r>
        <w:t>15.5 Platform validation lanes</w:t>
      </w:r>
    </w:p>
    <w:p>
      <w:pPr>
        <w:pStyle w:val="BodyTight"/>
      </w:pPr>
      <w:r>
        <w:t>Platform validation should be treated as evidence stratification. The question is not merely whether a command succeeded; it is where the effect occurred, what was allowed to mutate, and which larger readiness claim remained denied.</w:t>
      </w:r>
    </w:p>
    <w:p>
      <w:pPr>
        <w:pStyle w:val="ListBullet"/>
      </w:pPr>
      <w:r>
        <w:t>macOS tests should prove path guards, user-local target selection, managed-marker requirements, closed commit gates, verification-transcript contract fields, reset/uninstall dry-run ordering, and zero host mutation while no writer exists.</w:t>
      </w:r>
    </w:p>
    <w:p>
      <w:pPr>
        <w:pStyle w:val="ListBullet"/>
      </w:pPr>
      <w:r>
        <w:t>Fedora tests should distinguish static spec checks, installroot lifecycle evidence, disposable-VM local RPM validation, manual host release-candidate classification, and production-readiness blockers.</w:t>
      </w:r>
    </w:p>
    <w:p>
      <w:pPr>
        <w:pStyle w:val="ListBullet"/>
      </w:pPr>
      <w:r>
        <w:t>A platform validation report should always carry negative fields: root_authority=0, network_performed=0, production_installer_ready=0, platform_approval_claimed=0, and daily_driver_install_ready=0 unless a later evidence package proves otherwise.</w:t>
      </w:r>
    </w:p>
    <w:p>
      <w:pPr>
        <w:pStyle w:val="Heading2"/>
      </w:pPr>
      <w:r>
        <w:rPr>
          <w:rFonts w:ascii="Liberation Serif" w:hAnsi="Liberation Serif" w:eastAsia="Liberation Serif"/>
        </w:rPr>
        <w:t>15.6 Seal trust-boundary validation lanes</w:t>
      </w:r>
    </w:p>
    <w:p>
      <w:pPr>
        <w:pStyle w:val="BodyTight"/>
      </w:pPr>
      <w:r>
        <w:rPr>
          <w:rFonts w:ascii="Liberation Serif" w:hAnsi="Liberation Serif" w:eastAsia="Liberation Serif"/>
        </w:rPr>
        <w:t>Seal trust-boundary tests should prove the negative path as carefully as the happy path. The signed-request lane should still assert that signed-request support, generation, signed-request verification, signature-present, signature-valid, trust-store, revocation, network, host-effect, and runtime-authority fields remain zero until those specific layers exist.</w:t>
      </w:r>
    </w:p>
    <w:p>
      <w:pPr>
        <w:pStyle w:val="BodyTight"/>
      </w:pPr>
      <w:r>
        <w:rPr>
          <w:rFonts w:ascii="Liberation Serif" w:hAnsi="Liberation Serif" w:eastAsia="Liberation Serif"/>
        </w:rPr>
        <w:t>The request-freshness lane should cover timestamp and nonce vocabulary without claiming trusted clocks, nonce storage, replay caches, freshness validation, replay protection, context hashing, parameter hashing, or enforcement. The report surface is valuable precisely because it makes the absence of those mechanisms reproducible.</w:t>
      </w:r>
    </w:p>
    <w:p>
      <w:pPr>
        <w:pStyle w:val="BodyTight"/>
      </w:pPr>
      <w:r>
        <w:rPr>
          <w:rFonts w:ascii="Liberation Serif" w:hAnsi="Liberation Serif" w:eastAsia="Liberation Serif"/>
        </w:rPr>
        <w:t>The baseline verification-receipt and crypto-backend lanes should keep unverified and unsupported predecessor states stable: verification_state=unsupported, receipt_state=unverified-metadata, crypto_verify_state=unsupported, cryptographic_verification_performed=0, verified=0, authority_usable=0, and runtime_authority_granted=0. The Ed25519 and promotion lanes then prove the later, narrower evidence upgrade separately.</w:t>
      </w:r>
    </w:p>
    <w:p>
      <w:pPr>
        <w:pStyle w:val="BodyTight"/>
      </w:pPr>
      <w:r>
        <w:rPr>
          <w:rFonts w:ascii="Liberation Serif" w:hAnsi="Liberation Serif" w:eastAsia="Liberation Serif"/>
        </w:rPr>
        <w:t>The capability-gate and effect-decision lanes should assert denied defaults: gate_state=denied-unverified, gate_allowed=0, decision_state=denied-gate, effect_allowed=0, effect_performed=0, host_read_performed=0, host_write_performed=0, network_performed=0, and runtime_authority_granted=0. When those tests fail, the default response should be to weaken or fix the claim, not to widen authority.</w:t>
      </w:r>
    </w:p>
    <w:p>
      <w:pPr>
        <w:pStyle w:val="Heading2"/>
      </w:pPr>
      <w:r>
        <w:rPr>
          <w:rFonts w:ascii="Liberation Serif" w:hAnsi="Liberation Serif" w:eastAsia="Liberation Serif"/>
        </w:rPr>
        <w:t>15.7 Ed25519 and promotion validation lanes</w:t>
      </w:r>
    </w:p>
    <w:p>
      <w:pPr>
        <w:pStyle w:val="BodyTight"/>
      </w:pPr>
      <w:r>
        <w:rPr>
          <w:rFonts w:ascii="Liberation Serif" w:hAnsi="Liberation Serif" w:eastAsia="Liberation Serif"/>
        </w:rPr>
        <w:t>The Ed25519 verify-only lane should prove both the real positive and the safe negative cases. The positive case verifies the RFC8032-style test vector and renders crypto_verify_state=verified, cryptographic_verification_performed=1, verified=1, authority_usable=0, capability_gate_allowed=0, and runtime_authority_granted=0.</w:t>
      </w:r>
    </w:p>
    <w:p>
      <w:pPr>
        <w:pStyle w:val="BodyTight"/>
      </w:pPr>
      <w:r>
        <w:rPr>
          <w:rFonts w:ascii="Liberation Serif" w:hAnsi="Liberation Serif" w:eastAsia="Liberation Serif"/>
        </w:rPr>
        <w:t>The negative cases are just as important: tampered signature, unsupported algorithm, missing message, oversized message, missing public key, wrong public-key size, missing signature, wrong signature size, provider failure, null output, null report buffers, and tiny report buffers must fail closed without key generation, signing, trust-store access, revocation lookup, host reads, host writes, network access, capability enforcement, or runtime authority.</w:t>
      </w:r>
    </w:p>
    <w:p>
      <w:pPr>
        <w:pStyle w:val="BodyTight"/>
      </w:pPr>
      <w:r>
        <w:rPr>
          <w:rFonts w:ascii="Liberation Serif" w:hAnsi="Liberation Serif" w:eastAsia="Liberation Serif"/>
        </w:rPr>
        <w:t>The verified receipt promotion lane should accept only a successful Ed25519 verify-only result. It should reject unsupported verification, verification-not-performed, verified=0, invalid=1, wrong crypto state, missing digest, and missing public-key identity. Its success case must keep authority_usable=0, capability_gate_allowed=0, and runtime_authority_granted=0 visible in both the record and report.</w:t>
      </w:r>
    </w:p>
    <w:p>
      <w:pPr>
        <w:pStyle w:val="Heading2"/>
      </w:pPr>
      <w:r>
        <w:rPr>
          <w:rFonts w:ascii="Liberation Serif" w:hAnsi="Liberation Serif" w:eastAsia="Liberation Serif"/>
        </w:rPr>
        <w:t>15.8 Verified capability gate validation lane</w:t>
      </w:r>
    </w:p>
    <w:p>
      <w:pPr>
        <w:pStyle w:val="BodyTight"/>
      </w:pPr>
      <w:r>
        <w:rPr>
          <w:rFonts w:ascii="Liberation Serif" w:hAnsi="Liberation Serif" w:eastAsia="Liberation Serif"/>
        </w:rPr>
        <w:t>The verified capability gate lane should prove that the narrow allowlist works and that the boundaries remain visible. Valid report/evaluate requests may set gate_allowed=1 and gate_state=allowed-metadata-only while preserving runtime_authority_granted=0, effect_performed=0, host_read_performed=0, host_write_performed=0, and network_performed=0.</w:t>
      </w:r>
    </w:p>
    <w:p>
      <w:pPr>
        <w:pStyle w:val="BodyTight"/>
      </w:pPr>
      <w:r>
        <w:rPr>
          <w:rFonts w:ascii="Liberation Serif" w:hAnsi="Liberation Serif" w:eastAsia="Liberation Serif"/>
        </w:rPr>
        <w:t>The failure lane should reject null receipts, invalid receipts, unverified receipts, invalid receipt flags, missing digest metadata, missing public-key identity, missing requested capability, unknown capability, missing requested effect, unknown effect, null output, null reports, and tiny report buffers. None of those failures may execute effects, persist policy, contact networks, read or write host files, execute tools, execute shells, enforce capabilities, or grant runtime authority.</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No-effect dry-run handoff, capability gate, denial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Authority vector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structured record of which powers a command or lane has or explicitly lacks.</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Boundary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limit on scope, authority, or claim strength.</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Claim ledger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project record of what is implemented, evidenced, planned, or forbidden to claim.</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Effect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An observable action such as reading, writing, installing, networking, or enforcing.</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Evidence-bound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Constrained by reproducible evidence and tests.</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Fail closed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Reject unsafe, malformed, unsupported, or contradictory input instead of guessing.</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declaration of inspection scope and policy expectations.</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Receipt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witness for an operator action or installer effect.</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Report-only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mode that inspects and describes local state without runtime enforcement.</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handoff</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metadata path for enforcement decisions, not current enforcement.</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Latticra evidence, reporting, and policy-boundary layer.</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Substrate</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foundational layer of state, policy, evidence, and authority relations.</w:t>
            </w:r>
          </w:p>
        </w:tc>
      </w:tr>
      <w:tr>
        <w:tc>
          <w:tcPr>
            <w:tcW w:type="dxa" w:w="4997"/>
          </w:tcPr>
          <w:p>
            <w:pPr>
              <w:spacing w:before="0" w:after="0" w:line="240" w:lineRule="auto"/>
            </w:pPr>
            <w:r>
              <w:rPr>
                <w:rFonts w:ascii="Liberation Sans" w:hAnsi="Liberation Sans" w:eastAsia="Liberation Sans"/>
                <w:sz w:val="16"/>
              </w:rPr>
              <w:t>Verification receipt</w:t>
            </w:r>
          </w:p>
        </w:tc>
        <w:tc>
          <w:tcPr>
            <w:tcW w:type="dxa" w:w="4997"/>
          </w:tcPr>
          <w:p>
            <w:pPr>
              <w:spacing w:before="0" w:after="0" w:line="240" w:lineRule="auto"/>
            </w:pPr>
            <w:r>
              <w:rPr>
                <w:rFonts w:ascii="Liberation Sans" w:hAnsi="Liberation Sans" w:eastAsia="Liberation Sans"/>
                <w:sz w:val="16"/>
              </w:rPr>
              <w:t>A witness record for verification metadata; not authority unless later cryptographic verification and gate policy are implemented and tested.</w:t>
            </w:r>
          </w:p>
        </w:tc>
      </w:tr>
      <w:tr>
        <w:tc>
          <w:tcPr>
            <w:tcW w:type="dxa" w:w="4997"/>
          </w:tcPr>
          <w:p>
            <w:pPr>
              <w:spacing w:before="0" w:after="0" w:line="240" w:lineRule="auto"/>
            </w:pPr>
            <w:r>
              <w:rPr>
                <w:rFonts w:ascii="Liberation Sans" w:hAnsi="Liberation Sans" w:eastAsia="Liberation Sans"/>
                <w:sz w:val="16"/>
              </w:rPr>
              <w:t>Capability gate</w:t>
            </w:r>
          </w:p>
        </w:tc>
        <w:tc>
          <w:tcPr>
            <w:tcW w:type="dxa" w:w="4997"/>
          </w:tcPr>
          <w:p>
            <w:pPr>
              <w:spacing w:before="0" w:after="0" w:line="240" w:lineRule="auto"/>
            </w:pPr>
            <w:r>
              <w:rPr>
                <w:rFonts w:ascii="Liberation Sans" w:hAnsi="Liberation Sans" w:eastAsia="Liberation Sans"/>
                <w:sz w:val="16"/>
              </w:rPr>
              <w:t>A boundary record that may later decide whether a verified receipt can request a capability; currently denied for unverified metadata.</w:t>
            </w:r>
          </w:p>
        </w:tc>
      </w:tr>
      <w:tr>
        <w:tc>
          <w:tcPr>
            <w:tcW w:type="dxa" w:w="4997"/>
          </w:tcPr>
          <w:p>
            <w:pPr>
              <w:spacing w:before="0" w:after="0" w:line="240" w:lineRule="auto"/>
            </w:pPr>
            <w:r>
              <w:rPr>
                <w:rFonts w:ascii="Liberation Sans" w:hAnsi="Liberation Sans" w:eastAsia="Liberation Sans"/>
                <w:sz w:val="16"/>
              </w:rPr>
              <w:t>Effect decision</w:t>
            </w:r>
          </w:p>
        </w:tc>
        <w:tc>
          <w:tcPr>
            <w:tcW w:type="dxa" w:w="4997"/>
          </w:tcPr>
          <w:p>
            <w:pPr>
              <w:spacing w:before="0" w:after="0" w:line="240" w:lineRule="auto"/>
            </w:pPr>
            <w:r>
              <w:rPr>
                <w:rFonts w:ascii="Liberation Sans" w:hAnsi="Liberation Sans" w:eastAsia="Liberation Sans"/>
                <w:sz w:val="16"/>
              </w:rPr>
              <w:t>A record that separates an allowed gate from any actual host, network, runtime, or tool effect.</w:t>
            </w:r>
          </w:p>
        </w:tc>
      </w:tr>
      <w:tr>
        <w:tc>
          <w:tcPr>
            <w:tcW w:type="dxa" w:w="4997"/>
          </w:tcPr>
          <w:p>
            <w:pPr>
              <w:spacing w:before="0" w:after="0" w:line="240" w:lineRule="auto"/>
            </w:pPr>
            <w:r>
              <w:rPr>
                <w:rFonts w:ascii="Liberation Sans" w:hAnsi="Liberation Sans" w:eastAsia="Liberation Sans"/>
                <w:sz w:val="16"/>
              </w:rPr>
              <w:t>Verify-only result</w:t>
            </w:r>
          </w:p>
        </w:tc>
        <w:tc>
          <w:tcPr>
            <w:tcW w:type="dxa" w:w="4997"/>
          </w:tcPr>
          <w:p>
            <w:pPr>
              <w:spacing w:before="0" w:after="0" w:line="240" w:lineRule="auto"/>
            </w:pPr>
            <w:r>
              <w:rPr>
                <w:rFonts w:ascii="Liberation Sans" w:hAnsi="Liberation Sans" w:eastAsia="Liberation Sans"/>
                <w:sz w:val="16"/>
              </w:rPr>
              <w:t>A local cryptographic verification result for caller-supplied bytes that remains separate from signing, trust, capability, and effects.</w:t>
            </w:r>
          </w:p>
        </w:tc>
      </w:tr>
      <w:tr>
        <w:tc>
          <w:tcPr>
            <w:tcW w:type="dxa" w:w="4997"/>
          </w:tcPr>
          <w:p>
            <w:pPr>
              <w:spacing w:before="0" w:after="0" w:line="240" w:lineRule="auto"/>
            </w:pPr>
            <w:r>
              <w:rPr>
                <w:rFonts w:ascii="Liberation Sans" w:hAnsi="Liberation Sans" w:eastAsia="Liberation Sans"/>
                <w:sz w:val="16"/>
              </w:rPr>
              <w:t>Evidence promotion</w:t>
            </w:r>
          </w:p>
        </w:tc>
        <w:tc>
          <w:tcPr>
            <w:tcW w:type="dxa" w:w="4997"/>
          </w:tcPr>
          <w:p>
            <w:pPr>
              <w:spacing w:before="0" w:after="0" w:line="240" w:lineRule="auto"/>
            </w:pPr>
            <w:r>
              <w:rPr>
                <w:rFonts w:ascii="Liberation Sans" w:hAnsi="Liberation Sans" w:eastAsia="Liberation Sans"/>
                <w:sz w:val="16"/>
              </w:rPr>
              <w:t>A transition that strengthens a witness record, such as from a verified result to a verified receipt, without granting authority.</w:t>
            </w:r>
          </w:p>
        </w:tc>
      </w:tr>
      <w:tr>
        <w:tc>
          <w:tcPr>
            <w:tcW w:type="dxa" w:w="4997"/>
          </w:tcPr>
          <w:p>
            <w:pPr>
              <w:spacing w:before="0" w:after="0" w:line="240" w:lineRule="auto"/>
            </w:pPr>
            <w:r>
              <w:rPr>
                <w:rFonts w:ascii="Liberation Sans" w:hAnsi="Liberation Sans" w:eastAsia="Liberation Sans"/>
                <w:sz w:val="16"/>
              </w:rPr>
              <w:t>Metadata gate</w:t>
            </w:r>
          </w:p>
        </w:tc>
        <w:tc>
          <w:tcPr>
            <w:tcW w:type="dxa" w:w="4997"/>
          </w:tcPr>
          <w:p>
            <w:pPr>
              <w:spacing w:before="0" w:after="0" w:line="240" w:lineRule="auto"/>
            </w:pPr>
            <w:r>
              <w:rPr>
                <w:rFonts w:ascii="Liberation Sans" w:hAnsi="Liberation Sans" w:eastAsia="Liberation Sans"/>
                <w:sz w:val="16"/>
              </w:rPr>
              <w:t>A policy evaluation record that can allow metadata-only inspection or reporting without performing an effect.</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rPr>
          <w:rFonts w:ascii="Liberation Serif" w:hAnsi="Liberation Serif" w:eastAsia="Liberation Serif"/>
        </w:rPr>
        <w:t>A strong public sentence: "Latticra is an early, local, evidence-bound substrate for report-only verification, policy regression, manifest/hash baselines, authority-neutral Ed25519 verification evidence, metadata-only capability gating, guarded user-local installation,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t>This edition was derived from the Latticra Seal handbook and recent repository material covering signed-request, freshness, verification-receipt, crypto-backend, Ed25519 verify-only, verified receipt promotion, verified capability gate, capability-gate/effect-decision records, installer, Console, Panel, Nucleus, Nadia, macOS app-bundle, Fedora/RPM, Lat/LIR, and one-pass field-engine evidence. It distinguishes implemented facts from inferred substrate architecture and preserves the project non-claims.</w:t>
      </w:r>
    </w:p>
    <w:tbl>
      <w:tblPr>
        <w:tblStyle w:val="TableGrid"/>
        <w:tblW w:type="auto" w:w="0"/>
        <w:jc w:val="center"/>
        <w:tblLook w:firstColumn="1" w:firstRow="1" w:lastColumn="0" w:lastRow="0" w:noHBand="0" w:noVBand="1" w:val="04A0"/>
      </w:tblPr>
      <w:tblGrid>
        <w:gridCol w:w="4997"/>
        <w:gridCol w:w="4997"/>
      </w:tblGrid>
      <w:t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handbook</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role, architecture, policy, reports, boundaries, and roadmap.</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installer material</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Project-level component map, UI/installer workflow, authority visibility.</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receipts and dry-run evidence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user-local installation and receipt semantics.</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Fedora/RPM validation snippets</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Validation lane framing with explicit non-claims.</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One-pass field engine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artifact and witness-manifest pattern.</w:t>
            </w:r>
          </w:p>
        </w:tc>
      </w:tr>
      <w:tr>
        <w:tc>
          <w:tcPr>
            <w:tcW w:type="dxa" w:w="4997"/>
          </w:tcPr>
          <w:p>
            <w:pPr>
              <w:spacing w:before="0" w:after="0" w:line="240" w:lineRule="auto"/>
            </w:pPr>
            <w:r>
              <w:rPr>
                <w:rFonts w:ascii="Liberation Sans" w:hAnsi="Liberation Sans" w:eastAsia="Liberation Sans"/>
                <w:sz w:val="16"/>
              </w:rPr>
              <w:t>Latticra Console foundation</w:t>
            </w:r>
          </w:p>
        </w:tc>
        <w:tc>
          <w:tcPr>
            <w:tcW w:type="dxa" w:w="4997"/>
          </w:tcPr>
          <w:p>
            <w:pPr>
              <w:spacing w:before="0" w:after="0" w:line="240" w:lineRule="auto"/>
            </w:pPr>
            <w:r>
              <w:rPr>
                <w:rFonts w:ascii="Liberation Sans" w:hAnsi="Liberation Sans" w:eastAsia="Liberation Sans"/>
                <w:sz w:val="16"/>
              </w:rPr>
              <w:t>Stage-0 command registry, Panel installability, runtime-boundary binding, and no-effect operator-surface posture.</w:t>
            </w:r>
          </w:p>
        </w:tc>
      </w:tr>
      <w:tr>
        <w:tc>
          <w:tcPr>
            <w:tcW w:type="dxa" w:w="4997"/>
          </w:tcPr>
          <w:p>
            <w:pPr>
              <w:spacing w:before="0" w:after="0" w:line="240" w:lineRule="auto"/>
            </w:pPr>
            <w:r>
              <w:rPr>
                <w:rFonts w:ascii="Liberation Sans" w:hAnsi="Liberation Sans" w:eastAsia="Liberation Sans"/>
                <w:sz w:val="16"/>
              </w:rPr>
              <w:t>Nucleus task boundary</w:t>
            </w:r>
          </w:p>
        </w:tc>
        <w:tc>
          <w:tcPr>
            <w:tcW w:type="dxa" w:w="4997"/>
          </w:tcPr>
          <w:p>
            <w:pPr>
              <w:spacing w:before="0" w:after="0" w:line="240" w:lineRule="auto"/>
            </w:pPr>
            <w:r>
              <w:rPr>
                <w:rFonts w:ascii="Liberation Sans" w:hAnsi="Liberation Sans" w:eastAsia="Liberation Sans"/>
                <w:sz w:val="16"/>
              </w:rPr>
              <w:t>Report-only task classification, no-effect alignment, execution-status labels, and future-gated task vocabulary.</w:t>
            </w:r>
          </w:p>
        </w:tc>
      </w:tr>
      <w:tr>
        <w:tc>
          <w:tcPr>
            <w:tcW w:type="dxa" w:w="4997"/>
          </w:tcPr>
          <w:p>
            <w:pPr>
              <w:spacing w:before="0" w:after="0" w:line="240" w:lineRule="auto"/>
            </w:pPr>
            <w:r>
              <w:rPr>
                <w:rFonts w:ascii="Liberation Sans" w:hAnsi="Liberation Sans" w:eastAsia="Liberation Sans"/>
                <w:sz w:val="16"/>
              </w:rPr>
              <w:t>Nadia offline AI contracts</w:t>
            </w:r>
          </w:p>
        </w:tc>
        <w:tc>
          <w:tcPr>
            <w:tcW w:type="dxa" w:w="4997"/>
          </w:tcPr>
          <w:p>
            <w:pPr>
              <w:spacing w:before="0" w:after="0" w:line="240" w:lineRule="auto"/>
            </w:pPr>
            <w:r>
              <w:rPr>
                <w:rFonts w:ascii="Liberation Sans" w:hAnsi="Liberation Sans" w:eastAsia="Liberation Sans"/>
                <w:sz w:val="16"/>
              </w:rPr>
              <w:t>Stage-0 through Stage-27 metadata ladder for Panel/Console visibility, local context, model/prompt/tokenizer contracts, prompt-token-sequence and context-window boundaries, and denied AI/tool authority.</w:t>
            </w:r>
          </w:p>
        </w:tc>
      </w:tr>
      <w:tr>
        <w:tc>
          <w:tcPr>
            <w:tcW w:type="dxa" w:w="4997"/>
          </w:tcPr>
          <w:p>
            <w:pPr>
              <w:spacing w:before="0" w:after="0" w:line="240" w:lineRule="auto"/>
            </w:pPr>
            <w:r>
              <w:rPr>
                <w:rFonts w:ascii="Liberation Sans" w:hAnsi="Liberation Sans" w:eastAsia="Liberation Sans"/>
                <w:sz w:val="16"/>
              </w:rPr>
              <w:t>macOS user-local app bundle lane</w:t>
            </w:r>
          </w:p>
        </w:tc>
        <w:tc>
          <w:tcPr>
            <w:tcW w:type="dxa" w:w="4997"/>
          </w:tcPr>
          <w:p>
            <w:pPr>
              <w:spacing w:before="0" w:after="0" w:line="240" w:lineRule="auto"/>
            </w:pPr>
            <w:r>
              <w:rPr>
                <w:rFonts w:ascii="Liberation Sans" w:hAnsi="Liberation Sans" w:eastAsia="Liberation Sans"/>
                <w:sz w:val="16"/>
              </w:rPr>
              <w:t>Dry-run writer posture, user-local app bundle contract, commit gate, reset/uninstall contract, and verification transcript requirements.</w:t>
            </w:r>
          </w:p>
        </w:tc>
      </w:tr>
      <w:tr>
        <w:tc>
          <w:tcPr>
            <w:tcW w:type="dxa" w:w="4997"/>
          </w:tcPr>
          <w:p>
            <w:pPr>
              <w:spacing w:before="0" w:after="0" w:line="240" w:lineRule="auto"/>
            </w:pPr>
            <w:r>
              <w:rPr>
                <w:rFonts w:ascii="Liberation Sans" w:hAnsi="Liberation Sans" w:eastAsia="Liberation Sans"/>
                <w:sz w:val="16"/>
              </w:rPr>
              <w:t>Fedora RPM validation lanes</w:t>
            </w:r>
          </w:p>
        </w:tc>
        <w:tc>
          <w:tcPr>
            <w:tcW w:type="dxa" w:w="4997"/>
          </w:tcPr>
          <w:p>
            <w:pPr>
              <w:spacing w:before="0" w:after="0" w:line="240" w:lineRule="auto"/>
            </w:pPr>
            <w:r>
              <w:rPr>
                <w:rFonts w:ascii="Liberation Sans" w:hAnsi="Liberation Sans" w:eastAsia="Liberation Sans"/>
                <w:sz w:val="16"/>
              </w:rPr>
              <w:t>Installroot and disposable-VM RPM lifecycle evidence, bounded host-facing validation vocabulary, and Fedora non-claims.</w:t>
            </w:r>
          </w:p>
        </w:tc>
      </w:tr>
      <w:tr>
        <w:tc>
          <w:tcPr>
            <w:tcW w:type="dxa" w:w="4997"/>
          </w:tcPr>
          <w:p>
            <w:pPr>
              <w:spacing w:before="0" w:after="0" w:line="240" w:lineRule="auto"/>
            </w:pPr>
            <w:r>
              <w:rPr>
                <w:rFonts w:ascii="Liberation Sans" w:hAnsi="Liberation Sans" w:eastAsia="Liberation Sans"/>
                <w:sz w:val="16"/>
              </w:rPr>
              <w:t>Production installer readiness contract</w:t>
            </w:r>
          </w:p>
        </w:tc>
        <w:tc>
          <w:tcPr>
            <w:tcW w:type="dxa" w:w="4997"/>
          </w:tcPr>
          <w:p>
            <w:pPr>
              <w:spacing w:before="0" w:after="0" w:line="240" w:lineRule="auto"/>
            </w:pPr>
            <w:r>
              <w:rPr>
                <w:rFonts w:ascii="Liberation Sans" w:hAnsi="Liberation Sans" w:eastAsia="Liberation Sans"/>
                <w:sz w:val="16"/>
              </w:rPr>
              <w:t>Promotion gates for future installer artifacts, signatures, SBOM, install/uninstall/rollback transcripts, multi-VM validation, and readiness non-claims.</w:t>
            </w:r>
          </w:p>
        </w:tc>
      </w:tr>
      <w:tr>
        <w:tc>
          <w:tcPr>
            <w:tcW w:type="dxa" w:w="4997"/>
          </w:tcPr>
          <w:p>
            <w:pPr>
              <w:spacing w:before="0" w:after="0" w:line="240" w:lineRule="auto"/>
            </w:pPr>
            <w:r>
              <w:rPr>
                <w:rFonts w:ascii="Liberation Sans" w:hAnsi="Liberation Sans" w:eastAsia="Liberation Sans"/>
                <w:sz w:val="16"/>
              </w:rPr>
              <w:t>Seal trust and crypto metadata ladder</w:t>
            </w:r>
          </w:p>
        </w:tc>
        <w:tc>
          <w:tcPr>
            <w:tcW w:type="dxa" w:w="4997"/>
          </w:tcPr>
          <w:p>
            <w:pPr>
              <w:spacing w:before="0" w:after="0" w:line="240" w:lineRule="auto"/>
            </w:pPr>
            <w:r>
              <w:rPr>
                <w:rFonts w:ascii="Liberation Sans" w:hAnsi="Liberation Sans" w:eastAsia="Liberation Sans"/>
                <w:sz w:val="16"/>
              </w:rPr>
              <w:t>Signed request, request freshness, verification receipt, crypto verify backend, capability gate, effect decision, and denied authority boundaries.</w:t>
            </w:r>
          </w:p>
        </w:tc>
      </w:tr>
      <w:tr>
        <w:tc>
          <w:tcPr>
            <w:tcW w:type="dxa" w:w="4997"/>
          </w:tcPr>
          <w:p>
            <w:pPr>
              <w:spacing w:before="0" w:after="0" w:line="240" w:lineRule="auto"/>
            </w:pPr>
            <w:r>
              <w:rPr>
                <w:rFonts w:ascii="Liberation Sans" w:hAnsi="Liberation Sans" w:eastAsia="Liberation Sans"/>
                <w:sz w:val="16"/>
              </w:rPr>
              <w:t>Seal Ed25519 verify-only and receipt promotion</w:t>
            </w:r>
          </w:p>
        </w:tc>
        <w:tc>
          <w:tcPr>
            <w:tcW w:type="dxa" w:w="4997"/>
          </w:tcPr>
          <w:p>
            <w:pPr>
              <w:spacing w:before="0" w:after="0" w:line="240" w:lineRule="auto"/>
            </w:pPr>
            <w:r>
              <w:rPr>
                <w:rFonts w:ascii="Liberation Sans" w:hAnsi="Liberation Sans" w:eastAsia="Liberation Sans"/>
                <w:sz w:val="16"/>
              </w:rPr>
              <w:t>Provider-backed local verification result evidence, authority-neutral verified receipt promotion, and non-claims around trust stores, revocation, signing, capabilities, effects, and runtime authority.</w:t>
            </w:r>
          </w:p>
        </w:tc>
      </w:tr>
      <w:tr>
        <w:tc>
          <w:tcPr>
            <w:tcW w:type="dxa" w:w="4997"/>
          </w:tcPr>
          <w:p>
            <w:pPr>
              <w:spacing w:before="0" w:after="0" w:line="240" w:lineRule="auto"/>
            </w:pPr>
            <w:r>
              <w:rPr>
                <w:rFonts w:ascii="Liberation Sans" w:hAnsi="Liberation Sans" w:eastAsia="Liberation Sans"/>
                <w:sz w:val="16"/>
              </w:rPr>
              <w:t>Seal verified capability gate</w:t>
            </w:r>
          </w:p>
        </w:tc>
        <w:tc>
          <w:tcPr>
            <w:tcW w:type="dxa" w:w="4997"/>
          </w:tcPr>
          <w:p>
            <w:pPr>
              <w:spacing w:before="0" w:after="0" w:line="240" w:lineRule="auto"/>
            </w:pPr>
            <w:r>
              <w:rPr>
                <w:rFonts w:ascii="Liberation Sans" w:hAnsi="Liberation Sans" w:eastAsia="Liberation Sans"/>
                <w:sz w:val="16"/>
              </w:rPr>
              <w:t>Metadata-only capability/effect allowlist for verified receipts, with gate_allowed=1 separated from enforcement, effects, host behavior, and runtime authority.</w:t>
            </w:r>
          </w:p>
        </w:tc>
      </w:tr>
    </w:tbl>
    <w:p>
      <w:pPr>
        <w:pStyle w:val="BodyTight"/>
      </w:pPr>
    </w:p>
    <w:p>
      <w:pPr>
        <w:pStyle w:val="BodyTight"/>
      </w:pPr>
      <w:r>
        <w:t>Future editions should replace inferred connective tissue with canonical specs for root architecture, Lat/LIR, Panel, Console, Nucleus, Nadia, Seal, installers, platform validation, reports, receipts, and runtime handoff.</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ListNumber"/>
      </w:pPr>
      <w:r>
        <w:t>For AI-era surfaces, distinguish contract metadata from model loading, prompt tokenization, inference, dialogue generation, source mutation, and tool execution.</w:t>
      </w:r>
    </w:p>
    <w:p>
      <w:pPr>
        <w:pStyle w:val="ListNumber"/>
      </w:pPr>
      <w:r>
        <w:t>For platform work, distinguish dry-run, installroot, disposable-VM, manual-host, and production-installer evidence before making any readiness claim.</w:t>
      </w:r>
    </w:p>
    <w:p>
      <w:pPr>
        <w:pStyle w:val="ListNumber"/>
      </w:pPr>
      <w:r>
        <w:t>For Seal work, follow the ladder through verified receipt promotion and verified capability gate metadata; never skip from verification evidence to authority.</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