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rPr>
          <w:rFonts w:ascii="Liberation Sans" w:hAnsi="Liberation Sans"/>
          <w:color w:val="475569"/>
          <w:sz w:val="20"/>
        </w:rPr>
        <w:t>Working Draft 0.6 - 2026-05-25</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rPr>
          <w:rFonts w:ascii="Liberation Serif" w:hAnsi="Liberation Serif"/>
        </w:rPr>
        <w:t>Source posture: this edition draws from the Seal handbook plus current Panel/installer receipts, Fedora and macOS platform-validation records, production-installer readiness gates, Lat/LIR, Latticra Console, Nucleus, Nadia Stage-27, threat-model, runtime-boundary, and abuse-case evidence. Where project documents are not yet canonical, this book uses conservative connective tissue rather than asserting implementation details.</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Local report generation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Manifest/hash baseline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Policy regression lane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Panel bridge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Guarded local-prefix installer</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Evidence from local installer work</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Network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network authority.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Root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root installation.</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Kernel/systemd/SELinux integration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Production host security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host protection, malware prevention, or ransomware prevention.</w:t>
            </w:r>
          </w:p>
        </w:tc>
      </w:tr>
      <w:tr>
        <w:tc>
          <w:tcPr>
            <w:tcW w:type="dxa" w:w="2592"/>
            <w:tcMar>
              <w:top w:w="60" w:type="dxa"/>
              <w:start w:w="70" w:type="dxa"/>
              <w:bottom w:w="60" w:type="dxa"/>
              <w:end w:w="70" w:type="dxa"/>
            </w:tcMar>
            <w:vAlign w:val="top"/>
          </w:tcPr>
          <w:p>
            <w:pPr/>
            <w:r>
              <w:rPr>
                <w:rFonts w:ascii="Liberation Sans" w:hAnsi="Liberation Sans"/>
                <w:sz w:val="16"/>
              </w:rPr>
              <w:t>Nucleus task boundary</w:t>
            </w:r>
          </w:p>
        </w:tc>
        <w:tc>
          <w:tcPr>
            <w:tcW w:type="dxa" w:w="2952"/>
            <w:tcMar>
              <w:top w:w="60" w:type="dxa"/>
              <w:start w:w="70" w:type="dxa"/>
              <w:bottom w:w="60" w:type="dxa"/>
              <w:end w:w="70" w:type="dxa"/>
            </w:tcMar>
            <w:vAlign w:val="top"/>
          </w:tcPr>
          <w:p>
            <w:pPr/>
            <w:r>
              <w:rPr>
                <w:rFonts w:ascii="Liberation Sans" w:hAnsi="Liberation Sans"/>
                <w:sz w:val="16"/>
              </w:rPr>
              <w:t>Report-only task records with no-effect alignment and execution/effect/runtime labels.</w:t>
            </w:r>
          </w:p>
        </w:tc>
        <w:tc>
          <w:tcPr>
            <w:tcW w:type="dxa" w:w="4176"/>
            <w:tcMar>
              <w:top w:w="60" w:type="dxa"/>
              <w:start w:w="70" w:type="dxa"/>
              <w:bottom w:w="60" w:type="dxa"/>
              <w:end w:w="70" w:type="dxa"/>
            </w:tcMar>
            <w:vAlign w:val="top"/>
          </w:tcPr>
          <w:p>
            <w:pPr/>
            <w:r>
              <w:rPr>
                <w:rFonts w:ascii="Liberation Sans" w:hAnsi="Liberation Sans"/>
                <w:sz w:val="16"/>
              </w:rPr>
              <w:t>Say it classifies and reports task-shaped requests; do not say it executes tasks.</w:t>
            </w:r>
          </w:p>
        </w:tc>
      </w:tr>
      <w:tr>
        <w:tc>
          <w:tcPr>
            <w:tcW w:type="dxa" w:w="2592"/>
            <w:tcMar>
              <w:top w:w="60" w:type="dxa"/>
              <w:start w:w="70" w:type="dxa"/>
              <w:bottom w:w="60" w:type="dxa"/>
              <w:end w:w="70" w:type="dxa"/>
            </w:tcMar>
            <w:vAlign w:val="top"/>
          </w:tcPr>
          <w:p>
            <w:pPr/>
            <w:r>
              <w:rPr>
                <w:rFonts w:ascii="Liberation Sans" w:hAnsi="Liberation Sans"/>
                <w:sz w:val="16"/>
              </w:rPr>
              <w:t>Nadia offline AI</w:t>
            </w:r>
          </w:p>
        </w:tc>
        <w:tc>
          <w:tcPr>
            <w:tcW w:type="dxa" w:w="2952"/>
            <w:tcMar>
              <w:top w:w="60" w:type="dxa"/>
              <w:start w:w="70" w:type="dxa"/>
              <w:bottom w:w="60" w:type="dxa"/>
              <w:end w:w="70" w:type="dxa"/>
            </w:tcMar>
            <w:vAlign w:val="top"/>
          </w:tcPr>
          <w:p>
            <w:pPr/>
            <w:r>
              <w:rPr>
                <w:rFonts w:ascii="Liberation Sans" w:hAnsi="Liberation Sans"/>
                <w:sz w:val="16"/>
              </w:rPr>
              <w:t>Stage-0 through Stage-27 contract metadata; no model runtime, tokenization, context-window assembly, inference, dialogue, or tools.</w:t>
            </w:r>
          </w:p>
        </w:tc>
        <w:tc>
          <w:tcPr>
            <w:tcW w:type="dxa" w:w="4176"/>
            <w:tcMar>
              <w:top w:w="60" w:type="dxa"/>
              <w:start w:w="70" w:type="dxa"/>
              <w:bottom w:w="60" w:type="dxa"/>
              <w:end w:w="70" w:type="dxa"/>
            </w:tcMar>
            <w:vAlign w:val="top"/>
          </w:tcPr>
          <w:p>
            <w:pPr/>
            <w:r>
              <w:rPr>
                <w:rFonts w:ascii="Liberation Sans" w:hAnsi="Liberation Sans"/>
                <w:sz w:val="16"/>
              </w:rPr>
              <w:t>Say it is an offline-AI contract ladder; do not say it is an active AI assistant.</w:t>
            </w:r>
          </w:p>
        </w:tc>
      </w:tr>
      <w:tr>
        <w:tc>
          <w:tcPr>
            <w:tcW w:type="dxa" w:w="2592"/>
            <w:tcMar>
              <w:top w:w="60" w:type="dxa"/>
              <w:start w:w="70" w:type="dxa"/>
              <w:bottom w:w="60" w:type="dxa"/>
              <w:end w:w="70" w:type="dxa"/>
            </w:tcMar>
            <w:vAlign w:val="top"/>
          </w:tcPr>
          <w:p>
            <w:pPr/>
            <w:r>
              <w:rPr>
                <w:rFonts w:ascii="Liberation Sans" w:hAnsi="Liberation Sans"/>
                <w:sz w:val="16"/>
              </w:rPr>
              <w:t>macOS app bundle lane</w:t>
            </w:r>
          </w:p>
        </w:tc>
        <w:tc>
          <w:tcPr>
            <w:tcW w:type="dxa" w:w="2952"/>
            <w:tcMar>
              <w:top w:w="60" w:type="dxa"/>
              <w:start w:w="70" w:type="dxa"/>
              <w:bottom w:w="60" w:type="dxa"/>
              <w:end w:w="70" w:type="dxa"/>
            </w:tcMar>
            <w:vAlign w:val="top"/>
          </w:tcPr>
          <w:p>
            <w:pPr/>
            <w:r>
              <w:rPr>
                <w:rFonts w:ascii="Liberation Sans" w:hAnsi="Liberation Sans"/>
                <w:sz w:val="16"/>
              </w:rPr>
              <w:t>No-effect user-local app-bundle writer dry-run, commit gate, reset/uninstall dry-run contract, and verification-transcript contract.</w:t>
            </w:r>
          </w:p>
        </w:tc>
        <w:tc>
          <w:tcPr>
            <w:tcW w:type="dxa" w:w="4176"/>
            <w:tcMar>
              <w:top w:w="60" w:type="dxa"/>
              <w:start w:w="70" w:type="dxa"/>
              <w:bottom w:w="60" w:type="dxa"/>
              <w:end w:w="70" w:type="dxa"/>
            </w:tcMar>
            <w:vAlign w:val="top"/>
          </w:tcPr>
          <w:p>
            <w:pPr/>
            <w:r>
              <w:rPr>
                <w:rFonts w:ascii="Liberation Sans" w:hAnsi="Liberation Sans"/>
                <w:sz w:val="16"/>
              </w:rPr>
              <w:t>Say macOS install evidence is being specified; do not say a macOS installer exists.</w:t>
            </w:r>
          </w:p>
        </w:tc>
      </w:tr>
      <w:tr>
        <w:tc>
          <w:tcPr>
            <w:tcW w:type="dxa" w:w="2592"/>
            <w:tcMar>
              <w:top w:w="60" w:type="dxa"/>
              <w:start w:w="70" w:type="dxa"/>
              <w:bottom w:w="60" w:type="dxa"/>
              <w:end w:w="70" w:type="dxa"/>
            </w:tcMar>
            <w:vAlign w:val="top"/>
          </w:tcPr>
          <w:p>
            <w:pPr/>
            <w:r>
              <w:rPr>
                <w:rFonts w:ascii="Liberation Sans" w:hAnsi="Liberation Sans"/>
                <w:sz w:val="16"/>
              </w:rPr>
              <w:t>Fedora RPM lifecycle lane</w:t>
            </w:r>
          </w:p>
        </w:tc>
        <w:tc>
          <w:tcPr>
            <w:tcW w:type="dxa" w:w="2952"/>
            <w:tcMar>
              <w:top w:w="60" w:type="dxa"/>
              <w:start w:w="70" w:type="dxa"/>
              <w:bottom w:w="60" w:type="dxa"/>
              <w:end w:w="70" w:type="dxa"/>
            </w:tcMar>
            <w:vAlign w:val="top"/>
          </w:tcPr>
          <w:p>
            <w:pPr/>
            <w:r>
              <w:rPr>
                <w:rFonts w:ascii="Liberation Sans" w:hAnsi="Liberation Sans"/>
                <w:sz w:val="16"/>
              </w:rPr>
              <w:t>Controlled installroot/disposable-VM RPM evidence and package validation records.</w:t>
            </w:r>
          </w:p>
        </w:tc>
        <w:tc>
          <w:tcPr>
            <w:tcW w:type="dxa" w:w="4176"/>
            <w:tcMar>
              <w:top w:w="60" w:type="dxa"/>
              <w:start w:w="70" w:type="dxa"/>
              <w:bottom w:w="60" w:type="dxa"/>
              <w:end w:w="70" w:type="dxa"/>
            </w:tcMar>
            <w:vAlign w:val="top"/>
          </w:tcPr>
          <w:p>
            <w:pPr/>
            <w:r>
              <w:rPr>
                <w:rFonts w:ascii="Liberation Sans" w:hAnsi="Liberation Sans"/>
                <w:sz w:val="16"/>
              </w:rPr>
              <w:t>Say bounded RPM lifecycle evidence exists; do not say Fedora approval or daily-driver readiness.</w:t>
            </w:r>
          </w:p>
        </w:tc>
      </w:tr>
      <w:tr>
        <w:tc>
          <w:tcPr>
            <w:tcW w:type="dxa" w:w="2592"/>
            <w:tcMar>
              <w:top w:w="60" w:type="dxa"/>
              <w:start w:w="70" w:type="dxa"/>
              <w:bottom w:w="60" w:type="dxa"/>
              <w:end w:w="70" w:type="dxa"/>
            </w:tcMar>
            <w:vAlign w:val="top"/>
          </w:tcPr>
          <w:p>
            <w:pPr/>
            <w:r>
              <w:rPr>
                <w:rFonts w:ascii="Liberation Sans" w:hAnsi="Liberation Sans"/>
                <w:sz w:val="16"/>
              </w:rPr>
              <w:t>Production installer readiness</w:t>
            </w:r>
          </w:p>
        </w:tc>
        <w:tc>
          <w:tcPr>
            <w:tcW w:type="dxa" w:w="2952"/>
            <w:tcMar>
              <w:top w:w="60" w:type="dxa"/>
              <w:start w:w="70" w:type="dxa"/>
              <w:bottom w:w="60" w:type="dxa"/>
              <w:end w:w="70" w:type="dxa"/>
            </w:tcMar>
            <w:vAlign w:val="top"/>
          </w:tcPr>
          <w:p>
            <w:pPr/>
            <w:r>
              <w:rPr>
                <w:rFonts w:ascii="Liberation Sans" w:hAnsi="Liberation Sans"/>
                <w:sz w:val="16"/>
              </w:rPr>
              <w:t>Contract-only readiness gate with required future artifacts, transcripts, signatures, rollback, and multi-VM evidence.</w:t>
            </w:r>
          </w:p>
        </w:tc>
        <w:tc>
          <w:tcPr>
            <w:tcW w:type="dxa" w:w="4176"/>
            <w:tcMar>
              <w:top w:w="60" w:type="dxa"/>
              <w:start w:w="70" w:type="dxa"/>
              <w:bottom w:w="60" w:type="dxa"/>
              <w:end w:w="70" w:type="dxa"/>
            </w:tcMar>
            <w:vAlign w:val="top"/>
          </w:tcPr>
          <w:p>
            <w:pPr/>
            <w:r>
              <w:rPr>
                <w:rFonts w:ascii="Liberation Sans" w:hAnsi="Liberation Sans"/>
                <w:sz w:val="16"/>
              </w:rPr>
              <w:t>Say readiness is gated and currently false; do not say Latticra is production installable.</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c>
          <w:tcPr>
            <w:tcW w:type="dxa" w:w="3331"/>
          </w:tcPr>
          <w:p>
            <w:pPr/>
            <w:r>
              <w:rPr>
                <w:rFonts w:ascii="Liberation Sans" w:hAnsi="Liberation Sans"/>
                <w:sz w:val="16"/>
              </w:rPr>
              <w:t>LC</w:t>
            </w:r>
          </w:p>
        </w:tc>
        <w:tc>
          <w:tcPr>
            <w:tcW w:type="dxa" w:w="3331"/>
          </w:tcPr>
          <w:p>
            <w:pPr/>
            <w:r>
              <w:rPr>
                <w:rFonts w:ascii="Liberation Sans" w:hAnsi="Liberation Sans"/>
                <w:sz w:val="16"/>
              </w:rPr>
              <w:t>latticra-lc, command registry, profiles</w:t>
            </w:r>
          </w:p>
        </w:tc>
        <w:tc>
          <w:tcPr>
            <w:tcW w:type="dxa" w:w="3331"/>
          </w:tcPr>
          <w:p>
            <w:pPr/>
            <w:r>
              <w:rPr>
                <w:rFonts w:ascii="Liberation Sans" w:hAnsi="Liberation Sans"/>
                <w:sz w:val="16"/>
              </w:rPr>
              <w:t>Operator command surface with no-effect metadata and future gates.</w:t>
            </w:r>
          </w:p>
        </w:tc>
      </w:tr>
      <w:tr>
        <w:tc>
          <w:tcPr>
            <w:tcW w:type="dxa" w:w="3331"/>
          </w:tcPr>
          <w:p>
            <w:pPr/>
            <w:r>
              <w:rPr>
                <w:rFonts w:ascii="Liberation Sans" w:hAnsi="Liberation Sans"/>
                <w:sz w:val="16"/>
              </w:rPr>
              <w:t>Nucleus</w:t>
            </w:r>
          </w:p>
        </w:tc>
        <w:tc>
          <w:tcPr>
            <w:tcW w:type="dxa" w:w="3331"/>
          </w:tcPr>
          <w:p>
            <w:pPr/>
            <w:r>
              <w:rPr>
                <w:rFonts w:ascii="Liberation Sans" w:hAnsi="Liberation Sans"/>
                <w:sz w:val="16"/>
              </w:rPr>
              <w:t>nucleus task records and report-only runners</w:t>
            </w:r>
          </w:p>
        </w:tc>
        <w:tc>
          <w:tcPr>
            <w:tcW w:type="dxa" w:w="3331"/>
          </w:tcPr>
          <w:p>
            <w:pPr/>
            <w:r>
              <w:rPr>
                <w:rFonts w:ascii="Liberation Sans" w:hAnsi="Liberation Sans"/>
                <w:sz w:val="16"/>
              </w:rPr>
              <w:t>Coordinate task-boundary metadata without effect-performing execution.</w:t>
            </w:r>
          </w:p>
        </w:tc>
      </w:tr>
      <w:tr>
        <w:tc>
          <w:tcPr>
            <w:tcW w:type="dxa" w:w="3331"/>
          </w:tcPr>
          <w:p>
            <w:pPr/>
            <w:r>
              <w:rPr>
                <w:rFonts w:ascii="Liberation Sans" w:hAnsi="Liberation Sans"/>
                <w:sz w:val="16"/>
              </w:rPr>
              <w:t>Nadia</w:t>
            </w:r>
          </w:p>
        </w:tc>
        <w:tc>
          <w:tcPr>
            <w:tcW w:type="dxa" w:w="3331"/>
          </w:tcPr>
          <w:p>
            <w:pPr/>
            <w:r>
              <w:rPr>
                <w:rFonts w:ascii="Liberation Sans" w:hAnsi="Liberation Sans"/>
                <w:sz w:val="16"/>
              </w:rPr>
              <w:t>latticra-nadia, Panel component, Console metadata</w:t>
            </w:r>
          </w:p>
        </w:tc>
        <w:tc>
          <w:tcPr>
            <w:tcW w:type="dxa" w:w="3331"/>
          </w:tcPr>
          <w:p>
            <w:pPr/>
            <w:r>
              <w:rPr>
                <w:rFonts w:ascii="Liberation Sans" w:hAnsi="Liberation Sans"/>
                <w:sz w:val="16"/>
              </w:rPr>
              <w:t>Offline-AI contract ladder with denied model, tokenizer, prompt, runtime, and tool authority.</w:t>
            </w:r>
          </w:p>
        </w:tc>
      </w:tr>
      <w:tr>
        <w:tc>
          <w:tcPr>
            <w:tcW w:type="dxa" w:w="3331"/>
          </w:tcPr>
          <w:p>
            <w:pPr/>
            <w:r>
              <w:rPr>
                <w:rFonts w:ascii="Liberation Sans" w:hAnsi="Liberation Sans"/>
                <w:sz w:val="16"/>
              </w:rPr>
              <w:t>Platform install lanes</w:t>
            </w:r>
          </w:p>
        </w:tc>
        <w:tc>
          <w:tcPr>
            <w:tcW w:type="dxa" w:w="3331"/>
          </w:tcPr>
          <w:p>
            <w:pPr/>
            <w:r>
              <w:rPr>
                <w:rFonts w:ascii="Liberation Sans" w:hAnsi="Liberation Sans"/>
                <w:sz w:val="16"/>
              </w:rPr>
              <w:t>macOS contracts, Fedora RPM lanes, production readiness gates</w:t>
            </w:r>
          </w:p>
        </w:tc>
        <w:tc>
          <w:tcPr>
            <w:tcW w:type="dxa" w:w="3331"/>
          </w:tcPr>
          <w:p>
            <w:pPr/>
            <w:r>
              <w:rPr>
                <w:rFonts w:ascii="Liberation Sans" w:hAnsi="Liberation Sans"/>
                <w:sz w:val="16"/>
              </w:rPr>
              <w:t>Convert host-facing install claims into dry-run reports, bounded transcripts, and explicit non-readiness evidence.</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and bound to Runtime Boundary classification plus Seal capability labels.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Heading2"/>
      </w:pPr>
      <w:r>
        <w:t>4.4 Nucleus and Nadia as AI-era boundary surfaces</w:t>
      </w:r>
    </w:p>
    <w:p>
      <w:pPr>
        <w:pStyle w:val="BodyTight"/>
      </w:pPr>
      <w:r>
        <w:t>Nucleus and Nadia extend the substrate into AI-era work, but only as boundary surfaces first. Their value is not that they make the project autonomous today; it is that they force task requests, prompt chains, tokenizer artifacts, model readiness, tool authority, and future runtime entry points into explicit metadata before any effect-performing behavior can exist.</w:t>
      </w:r>
    </w:p>
    <w:p>
      <w:pPr>
        <w:pStyle w:val="ListBullet"/>
      </w:pPr>
      <w:r>
        <w:t>Nucleus currently records classification and policy posture for task-shaped requests. Its report refinements make execution_status=not-executed, effect_status=report-only, runtime_status=not-entered, no_effect_policy=preserved, and representation_gate=language-representation-reviewed visible in deterministic output.</w:t>
      </w:r>
    </w:p>
    <w:p>
      <w:pPr>
        <w:pStyle w:val="ListBullet"/>
      </w:pPr>
      <w:r>
        <w:t>Nadia is an optional offline-AI foundation, not an active AI assistant. Stage-0 through Stage-27 establish identity, Panel and Console surfaces, local context metadata, runtime/profile contracts, prompt and model contracts, tokenizer artifact contracts, prompt-tokenization contracts, and prompt-token-sequence contracts, and context-window assembly contracts while keeping model runtime, prompt reading, token creation, context-window assembly, prompt-evaluation-input creation, inference, dialogue generation, network access, source mutation, and tool execution denied.</w:t>
      </w:r>
    </w:p>
    <w:p>
      <w:pPr>
        <w:pStyle w:val="ListBullet"/>
      </w:pPr>
      <w:r>
        <w:t>The shared rule is evidence before capability. A future AI-adjacent command must pass through command-registry metadata, Nucleus task records, Runtime Boundary labels, Seal report surfaces, and explicit tests before any authority widens.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2"/>
      </w:pPr>
      <w:r>
        <w:t>6.4 Platform install lanes</w:t>
      </w:r>
    </w:p>
    <w:p>
      <w:pPr>
        <w:pStyle w:val="BodyTight"/>
      </w:pPr>
      <w:r>
        <w:t>Platform install work belongs in the substrate only when the target, authority, transcript, and rollback story are named. Latticra now has enough macOS and Fedora evidence to describe platform lanes, but the lanes remain deliberately short of production installer readiness.</w:t>
      </w:r>
    </w:p>
    <w:p>
      <w:pPr>
        <w:pStyle w:val="ListBullet"/>
      </w:pPr>
      <w:r>
        <w:t>The macOS lane is user-local and no-effect today: app bundle writer dry-runs, local candidate probes, commit-gate reports, reset/uninstall dry-run contracts, and verification-transcript contracts define what a future managed writer must prove before any app bundle or Application Support file is written.</w:t>
      </w:r>
    </w:p>
    <w:p>
      <w:pPr>
        <w:pStyle w:val="ListBullet"/>
      </w:pPr>
      <w:r>
        <w:t>The Fedora lane distinguishes controlled installroot and disposable-VM RPM validation from live-host installation. It can build or inspect local RPM payloads under explicit gates, but Fedora approval, immutable-host support, daily-driver readiness, and production installer readiness stay false.</w:t>
      </w:r>
    </w:p>
    <w:p>
      <w:pPr>
        <w:pStyle w:val="ListBullet"/>
      </w:pPr>
      <w:r>
        <w:t>The production installer readiness contract is the promotion boundary. It requires reproducible artifacts, checksums, signatures, SBOM/license metadata, install/uninstall/rollback transcripts, unsupported-target blocking, multi-VM validation, and public non-claims before production_installer_ready can ever become 1.</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2"/>
      </w:pPr>
      <w:r>
        <w:t>12.5 AI-era authority and prompt-chain non-goals</w:t>
      </w:r>
    </w:p>
    <w:p>
      <w:pPr>
        <w:pStyle w:val="BodyTight"/>
      </w:pPr>
      <w:r>
        <w:t>AI-facing vocabulary can sound operational long before the system has authority to act. Latticra should therefore treat prompts, tokenizers, model registries, context windows, tool preflights, and task runners as authority-bearing surfaces even when every current implementation remains metadata-only.</w:t>
      </w:r>
    </w:p>
    <w:p>
      <w:pPr>
        <w:pStyle w:val="ListBullet"/>
      </w:pPr>
      <w:r>
        <w:t>A prompt contract is not prompt evaluation. It may describe source policy, inherited safety requirements, and promotion gates, but it must not imply prompt text receipt, prompt reading, prompt materialization, token creation, runtime invocation, inference, dialogue generation, or tool execution.</w:t>
      </w:r>
    </w:p>
    <w:p>
      <w:pPr>
        <w:pStyle w:val="ListBullet"/>
      </w:pPr>
      <w:r>
        <w:t>A tokenizer or model contract is not a loaded model. It may describe expected evidence, review fields, and future compatibility, but it must not open tokenizer files, read vocabularies, hash artifacts, attach tokenizers, create runtime sessions, or select model weights unless that behavior is separately implemented and guarded.</w:t>
      </w:r>
    </w:p>
    <w:p>
      <w:pPr>
        <w:pStyle w:val="ListBullet"/>
      </w:pPr>
      <w:r>
        <w:t>A task record is not task execution. Nucleus may classify, deny, preview, and report, but current records must not mutate state, call a shell, use the network, perform server interaction, recover a host, touch hardware, or enter runtime behavior.</w:t>
      </w:r>
    </w:p>
    <w:p>
      <w:pPr>
        <w:pStyle w:val="Heading2"/>
      </w:pPr>
      <w:r>
        <w:t>12.6 Host-platform and installer non-goals</w:t>
      </w:r>
    </w:p>
    <w:p>
      <w:pPr>
        <w:pStyle w:val="BodyTight"/>
      </w:pPr>
      <w:r>
        <w:t>Host-platform evidence is especially easy to overread. A dry-run writer, package validation lane, or readiness contract is not the same thing as a supported installer. The handbook should keep those meanings separate.</w:t>
      </w:r>
    </w:p>
    <w:p>
      <w:pPr>
        <w:pStyle w:val="ListBullet"/>
      </w:pPr>
      <w:r>
        <w:t>A macOS user-local contract may name $HOME/Applications, Application Support, wrappers, receipts, managed markers, and verification transcript lines, but it must not imply notarization, signing, launchd authority, Keychain access, TCC approval, Endpoint Security, System Extensions, Network Extensions, privileged helpers, or Apple platform approval.</w:t>
      </w:r>
    </w:p>
    <w:p>
      <w:pPr>
        <w:pStyle w:val="ListBullet"/>
      </w:pPr>
      <w:r>
        <w:t>A Fedora RPM lifecycle lane may mutate a temporary installroot or disposable VM under explicit gates, but it must not imply live developer-host mutation, sudo readiness, Fedora distribution acceptance, immutable Fedora support, service activation, kernel modules, SELinux policy, boot changes, or daily-driver eligibility.</w:t>
      </w:r>
    </w:p>
    <w:p>
      <w:pPr>
        <w:pStyle w:val="ListBullet"/>
      </w:pPr>
      <w:r>
        <w:t>Installer language must preserve the evidence level: dry-run, contract, installroot, disposable VM, manual release-candidate checklist, and production installer readiness are different claims and should never collapse into one public sentence.</w:t>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The review rule is simple: adding a command means adding its effect label, capability label, no-effect flag, future-gate status, report surface, and denial behavior before widening authority.</w:t>
      </w:r>
    </w:p>
    <w:p>
      <w:pPr>
        <w:pStyle w:val="Heading2"/>
      </w:pPr>
      <w:r>
        <w:t>13.5 Nucleus and Nadia command surfaces</w:t>
      </w:r>
    </w:p>
    <w:p>
      <w:pPr>
        <w:pStyle w:val="BodyTight"/>
      </w:pPr>
      <w:r>
        <w:t>The Nucleus and Nadia command surfaces should be read as report producers and contract generators. Their command names are intentionally useful to operators, but the commands remain bounded by the metadata they emit and by the authority they explicitly do not have.</w:t>
      </w:r>
    </w:p>
    <w:p>
      <w:pPr>
        <w:pStyle w:val="ListBullet"/>
      </w:pPr>
      <w:r>
        <w:t>Nucleus commands must expose request kind, effect label, policy result, denial reason, execution status, effect status, runtime status, no-effect policy, and representation gate. A successful report is not proof that a task ran; it is proof that the boundary was classified.</w:t>
      </w:r>
    </w:p>
    <w:p>
      <w:pPr>
        <w:pStyle w:val="ListBullet"/>
      </w:pPr>
      <w:r>
        <w:t>Nadia commands under the embedded Console and installed latticra-nadia wrapper must keep the current stage visible. Status, context-pack, runtime-profile, prompt-plan, tool-preflight, prompt, model, tokenizer, token-sequence, and context-window commands are metadata or contract surfaces until a later contract proves otherwise.</w:t>
      </w:r>
    </w:p>
    <w:p>
      <w:pPr>
        <w:pStyle w:val="ListBullet"/>
      </w:pPr>
      <w:r>
        <w:t>Command review should reject any help text, status output, README prose, or Panel label that implies autonomous coding, model inference, prompt evaluation, tokenizer attachment, runtime sessions, network access, source mutation, or tool execution ahead of evidence.</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2"/>
      </w:pPr>
      <w:r>
        <w:t>14.5 Prompt and tokenizer metadata ladder</w:t>
      </w:r>
    </w:p>
    <w:p>
      <w:pPr>
        <w:pStyle w:val="BodyTight"/>
      </w:pPr>
      <w:r>
        <w:t>Nadia gives the handbook a concrete example of schema-first AI design. Each stage records the next boundary without crossing it, so the ladder is useful even before inference exists.</w:t>
      </w:r>
    </w:p>
    <w:p>
      <w:pPr>
        <w:pStyle w:val="ListBullet"/>
      </w:pPr>
      <w:r>
        <w:t>Foundation and local-context records bind component identity, local install paths, context-pack generation, runtime profile metadata, workbench plans, mode labels, and productivity-ledger vocabulary to local, operator-invoked evidence.</w:t>
      </w:r>
    </w:p>
    <w:p>
      <w:pPr>
        <w:pStyle w:val="ListBullet"/>
      </w:pPr>
      <w:r>
        <w:t>Prompt and model records bind prompt-evaluation contracts, local model registry contracts, inference-readiness contracts, runtime-invocation contracts, model-load contracts, prompt receipts, prompt materialization, and prompt-evaluation handoff to denied runtime authority.</w:t>
      </w:r>
    </w:p>
    <w:p>
      <w:pPr>
        <w:pStyle w:val="ListBullet"/>
      </w:pPr>
      <w:r>
        <w:t>Tokenizer records bind tokenizer specification, manifest, artifact inventory, measurement, verification, binding, and runtime-attachment contracts without opening tokenizer files, loading vocabularies, attaching tokenizers, or creating runtime sessions.</w:t>
      </w:r>
    </w:p>
    <w:p>
      <w:pPr>
        <w:pStyle w:val="ListBullet"/>
      </w:pPr>
      <w:r>
        <w:t>Prompt-tokenization and prompt-token-sequence records reserve the future shape of token count, token order, offsets, masks, and position IDs; Stage-27 context-window records then reserve future context-window layout, token budget, truncation, and prompt-evaluation-input requirements while explicitly recording that those values are not produced today.</w:t>
      </w: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2"/>
      </w:pPr>
      <w:r>
        <w:t>15.4 Nucleus and Nadia validation lanes</w:t>
      </w:r>
    </w:p>
    <w:p>
      <w:pPr>
        <w:pStyle w:val="BodyTight"/>
      </w:pPr>
      <w:r>
        <w:t>The AI-era validation lane should prove non-effects as aggressively as it proves positive metadata. The important evidence is often the zero: no runtime entered, no prompt read, no model loaded, no tokenizer opened, no task executed, and no tool authority granted.</w:t>
      </w:r>
    </w:p>
    <w:p>
      <w:pPr>
        <w:pStyle w:val="ListBullet"/>
      </w:pPr>
      <w:r>
        <w:t>Nucleus focused tests should keep report-only execution labels, no-effect alignment labels, future-gated behavior, denied mutations, and disabled server/recovery/hardware/runtime behavior stable across refactors.</w:t>
      </w:r>
    </w:p>
    <w:p>
      <w:pPr>
        <w:pStyle w:val="ListBullet"/>
      </w:pPr>
      <w:r>
        <w:t>Nadia focused tests should cover Stage-0 through Stage-27 contract outputs, inherited protective-safety fields, installed command names, Panel/Console metadata, and denial fields for model, tokenizer, prompt, runtime, network, source-mutation, and tool authority.</w:t>
      </w:r>
    </w:p>
    <w:p>
      <w:pPr>
        <w:pStyle w:val="ListBullet"/>
      </w:pPr>
      <w:r>
        <w:t>A failing validation lane should weaken public wording before it widens capability. In this substrate, conservative status is a feature, not a lack of ambition.</w:t>
      </w:r>
    </w:p>
    <w:p>
      <w:pPr>
        <w:pStyle w:val="Heading2"/>
      </w:pPr>
      <w:r>
        <w:t>15.5 Platform validation lanes</w:t>
      </w:r>
    </w:p>
    <w:p>
      <w:pPr>
        <w:pStyle w:val="BodyTight"/>
      </w:pPr>
      <w:r>
        <w:t>Platform validation should be treated as evidence stratification. The question is not merely whether a command succeeded; it is where the effect occurred, what was allowed to mutate, and which larger readiness claim remained denied.</w:t>
      </w:r>
    </w:p>
    <w:p>
      <w:pPr>
        <w:pStyle w:val="ListBullet"/>
      </w:pPr>
      <w:r>
        <w:t>macOS tests should prove path guards, user-local target selection, managed-marker requirements, closed commit gates, verification-transcript contract fields, reset/uninstall dry-run ordering, and zero host mutation while no writer exists.</w:t>
      </w:r>
    </w:p>
    <w:p>
      <w:pPr>
        <w:pStyle w:val="ListBullet"/>
      </w:pPr>
      <w:r>
        <w:t>Fedora tests should distinguish static spec checks, installroot lifecycle evidence, disposable-VM local RPM validation, manual host release-candidate classification, and production-readiness blockers.</w:t>
      </w:r>
    </w:p>
    <w:p>
      <w:pPr>
        <w:pStyle w:val="ListBullet"/>
      </w:pPr>
      <w:r>
        <w:t>A platform validation report should always carry negative fields: root_authority=0, network_performed=0, production_installer_ready=0, platform_approval_claimed=0, and daily_driver_install_ready=0 unless a later evidence package proves otherwise.</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No-effect dry-run handoff, capability gate,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vector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Boundary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Claim ledger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Effect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Evidence-bound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Fail closed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Substrate</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foundational layer of state, policy, evidence, and authority relations.</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rPr>
          <w:rFonts w:ascii="Liberation Serif" w:hAnsi="Liberation Serif"/>
        </w:rPr>
        <w:t>A strong public sentence: "Latticra is an early, local, evidence-bound substrate for report-only verification, policy regression, manifest/hash baselines,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rPr>
          <w:rFonts w:ascii="Liberation Serif" w:hAnsi="Liberation Serif"/>
        </w:rPr>
        <w:t>This edition was derived from the uploaded Latticra Seal handbook and broadened with recent repository material containing Panel installer notes, dry-run and local-prefix install transcripts, receipt and component-marker evidence, Fedora validation snippets, Fedora installroot/disposable-VM RPM lifecycle records, macOS user-local app-bundle dry-run, commit-gate, reset/uninstall, and verification-transcript contracts, the production-installer readiness contract, the one-pass field-engine browser artifact, May 25 Lat/LIR no-effect implementation records, Latticra Console Stage-0 foundation records, Nucleus report-only task-boundary refinements, Nadia offline AI Stage-0 through Stage-27 contract records, defensive threat-model validation, runtime-boundary policy expansion, and abuse-case fixture records. The expansion is conservative: it treats the broader project as a substrate architecture and does not claim production security readiness, runtime enforcement, network authority, root authority, kernel integration, SELinux integration, systemd enforcement, Fedora approval, Apple platform approval, active AI inference, autonomous coding, tool execution, or production installer readiness.</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Seal handbook</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Panel installer material</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Installer receipts and dry-run evidence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Fedora/RPM validation snippets</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One-pass field engine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Research artifact and witness-manifest pattern.</w:t>
            </w:r>
          </w:p>
        </w:tc>
      </w:tr>
      <w:tr>
        <w:tc>
          <w:tcPr>
            <w:tcW w:type="dxa" w:w="4997"/>
          </w:tcPr>
          <w:p>
            <w:pPr/>
            <w:r>
              <w:rPr>
                <w:rFonts w:ascii="Liberation Sans" w:hAnsi="Liberation Sans"/>
                <w:sz w:val="16"/>
              </w:rPr>
              <w:t>Latticra Console foundation</w:t>
            </w:r>
          </w:p>
        </w:tc>
        <w:tc>
          <w:tcPr>
            <w:tcW w:type="dxa" w:w="4997"/>
          </w:tcPr>
          <w:p>
            <w:pPr/>
            <w:r>
              <w:rPr>
                <w:rFonts w:ascii="Liberation Sans" w:hAnsi="Liberation Sans"/>
                <w:sz w:val="16"/>
              </w:rPr>
              <w:t>Stage-0 command registry, Panel installability, runtime-boundary binding, and no-effect operator-surface posture.</w:t>
            </w:r>
          </w:p>
        </w:tc>
      </w:tr>
      <w:tr>
        <w:tc>
          <w:tcPr>
            <w:tcW w:type="dxa" w:w="4997"/>
          </w:tcPr>
          <w:p>
            <w:pPr/>
            <w:r>
              <w:rPr>
                <w:rFonts w:ascii="Liberation Sans" w:hAnsi="Liberation Sans"/>
                <w:sz w:val="16"/>
              </w:rPr>
              <w:t>Nucleus task boundary</w:t>
            </w:r>
          </w:p>
        </w:tc>
        <w:tc>
          <w:tcPr>
            <w:tcW w:type="dxa" w:w="4997"/>
          </w:tcPr>
          <w:p>
            <w:pPr/>
            <w:r>
              <w:rPr>
                <w:rFonts w:ascii="Liberation Sans" w:hAnsi="Liberation Sans"/>
                <w:sz w:val="16"/>
              </w:rPr>
              <w:t>Report-only task classification, no-effect alignment, execution-status labels, and future-gated task vocabulary.</w:t>
            </w:r>
          </w:p>
        </w:tc>
      </w:tr>
      <w:tr>
        <w:tc>
          <w:tcPr>
            <w:tcW w:type="dxa" w:w="4997"/>
          </w:tcPr>
          <w:p>
            <w:pPr/>
            <w:r>
              <w:rPr>
                <w:rFonts w:ascii="Liberation Sans" w:hAnsi="Liberation Sans"/>
                <w:sz w:val="16"/>
              </w:rPr>
              <w:t>Nadia offline AI contracts</w:t>
            </w:r>
          </w:p>
        </w:tc>
        <w:tc>
          <w:tcPr>
            <w:tcW w:type="dxa" w:w="4997"/>
          </w:tcPr>
          <w:p>
            <w:pPr/>
            <w:r>
              <w:rPr>
                <w:rFonts w:ascii="Liberation Sans" w:hAnsi="Liberation Sans"/>
                <w:sz w:val="16"/>
              </w:rPr>
              <w:t>Stage-0 through Stage-27 metadata ladder for Panel/Console visibility, local context, model/prompt/tokenizer contracts, prompt-token-sequence and context-window boundaries, and denied AI/tool authority.</w:t>
            </w:r>
          </w:p>
        </w:tc>
      </w:tr>
      <w:tr>
        <w:tc>
          <w:tcPr>
            <w:tcW w:type="dxa" w:w="4997"/>
          </w:tcPr>
          <w:p>
            <w:pPr/>
            <w:r>
              <w:rPr>
                <w:rFonts w:ascii="Liberation Sans" w:hAnsi="Liberation Sans"/>
                <w:sz w:val="16"/>
              </w:rPr>
              <w:t>macOS user-local app bundle lane</w:t>
            </w:r>
          </w:p>
        </w:tc>
        <w:tc>
          <w:tcPr>
            <w:tcW w:type="dxa" w:w="4997"/>
          </w:tcPr>
          <w:p>
            <w:pPr/>
            <w:r>
              <w:rPr>
                <w:rFonts w:ascii="Liberation Sans" w:hAnsi="Liberation Sans"/>
                <w:sz w:val="16"/>
              </w:rPr>
              <w:t>Dry-run writer posture, user-local app bundle contract, commit gate, reset/uninstall contract, and verification transcript requirements.</w:t>
            </w:r>
          </w:p>
        </w:tc>
      </w:tr>
      <w:tr>
        <w:tc>
          <w:tcPr>
            <w:tcW w:type="dxa" w:w="4997"/>
          </w:tcPr>
          <w:p>
            <w:pPr/>
            <w:r>
              <w:rPr>
                <w:rFonts w:ascii="Liberation Sans" w:hAnsi="Liberation Sans"/>
                <w:sz w:val="16"/>
              </w:rPr>
              <w:t>Fedora RPM validation lanes</w:t>
            </w:r>
          </w:p>
        </w:tc>
        <w:tc>
          <w:tcPr>
            <w:tcW w:type="dxa" w:w="4997"/>
          </w:tcPr>
          <w:p>
            <w:pPr/>
            <w:r>
              <w:rPr>
                <w:rFonts w:ascii="Liberation Sans" w:hAnsi="Liberation Sans"/>
                <w:sz w:val="16"/>
              </w:rPr>
              <w:t>Installroot and disposable-VM RPM lifecycle evidence, bounded host-facing validation vocabulary, and Fedora non-claims.</w:t>
            </w:r>
          </w:p>
        </w:tc>
      </w:tr>
      <w:tr>
        <w:tc>
          <w:tcPr>
            <w:tcW w:type="dxa" w:w="4997"/>
          </w:tcPr>
          <w:p>
            <w:pPr/>
            <w:r>
              <w:rPr>
                <w:rFonts w:ascii="Liberation Sans" w:hAnsi="Liberation Sans"/>
                <w:sz w:val="16"/>
              </w:rPr>
              <w:t>Production installer readiness contract</w:t>
            </w:r>
          </w:p>
        </w:tc>
        <w:tc>
          <w:tcPr>
            <w:tcW w:type="dxa" w:w="4997"/>
          </w:tcPr>
          <w:p>
            <w:pPr/>
            <w:r>
              <w:rPr>
                <w:rFonts w:ascii="Liberation Sans" w:hAnsi="Liberation Sans"/>
                <w:sz w:val="16"/>
              </w:rPr>
              <w:t>Promotion gates for future installer artifacts, signatures, SBOM, install/uninstall/rollback transcripts, multi-VM validation, and readiness non-claims.</w:t>
            </w:r>
          </w:p>
        </w:tc>
      </w:tr>
    </w:tbl>
    <w:p>
      <w:pPr>
        <w:pStyle w:val="BodyTight"/>
      </w:pPr>
    </w:p>
    <w:p>
      <w:pPr>
        <w:pStyle w:val="BodyTight"/>
      </w:pPr>
      <w:r>
        <w:rPr>
          <w:rFonts w:ascii="Liberation Serif" w:hAnsi="Liberation Serif"/>
        </w:rPr>
        <w:t>Future editions should replace inferred project-level connective tissue with canonical repository documents as they mature: a root architecture spec, Lat/LIR spec, Panel UX contract, Latticra Console host-embedding contract, Nucleus task-record schema, Nadia offline-AI contract ladder, installer readiness contract, macOS app-bundle writer contract, Fedora RPM validation contract, report schema, receipt schema, and runtime-handoff specification.</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ListNumber"/>
      </w:pPr>
      <w:r>
        <w:t>For AI-era surfaces, distinguish contract metadata from model loading, prompt tokenization, inference, dialogue generation, source mutation, and tool execution.</w:t>
      </w:r>
    </w:p>
    <w:p>
      <w:pPr>
        <w:pStyle w:val="ListNumber"/>
      </w:pPr>
      <w:r>
        <w:t>For platform work, distinguish dry-run, installroot, disposable-VM, manual-host, and production-installer evidence before making any readiness claim.</w:t>
      </w:r>
    </w:p>
    <w:p>
      <w:pPr>
        <w:pStyle w:val="BodyTight"/>
      </w:pPr>
      <w:r>
        <w:rPr>
          <w:rFonts w:ascii="Liberation Serif" w:hAnsi="Liberation Serif"/>
        </w:rPr>
        <w:t>The result is a project that can mature without pretending. That is the Latticra contribution: not a premature claim of security, but a substrate where the effects of modern security work become explicit enough to verify.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