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0.3 - 2026-05-25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 one-pass field-engine browser artifact, Lat/LIR implementation records, defensive threat-model validation, runtime-boundary policy expansion, and abuse-case fixtures.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public claim c:</w:t>
              <w:br/>
              <w:t xml:space="preserve">    require evidence e</w:t>
              <w:br/>
              <w:t xml:space="preserve">    require test t reproducing e</w:t>
              <w:br/>
              <w:t xml:space="preserve">    require implementation effect supports c</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BodyTight"/>
      </w:pPr>
      <w:r>
        <w:rPr>
          <w:rFonts w:ascii="Liberation Serif" w:hAnsi="Liberation Serif"/>
        </w:rPr>
        <w:t>This invariant is stronger than a checklist. It is a design philosophy that turns documentation into an enforceable development constraint. The Latticra project should treat exaggerated language as a failing test of the public interface.</w:t>
      </w:r>
    </w:p>
    <w:p>
      <w:r>
        <w:rPr>
          <w:rFonts w:ascii="Liberation Serif" w:hAnsi="Liberation Serif"/>
        </w:rPr>
        <w:br w:type="page"/>
      </w: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r>
        <w:rPr>
          <w:rFonts w:ascii="Liberation Serif" w:hAnsi="Liberation Serif"/>
        </w:rPr>
        <w:br w:type="page"/>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May 25 Lat/LIR no-effect implementation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