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t>Working Draft 0.11 - 2026-05-26</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t>Source posture: this edition draws from the Seal handbook plus current Seal signed-request, request-freshness, verification-receipt, crypto-verify-backend, Ed25519 verify-only, verified-receipt-promotion, verified-capability-gate, verified-effect-decision, runtime-handoff-evaluation, runtime-handoff-report, report-envelope, signature-request, capability-gate, and effect-decision records; Latticra Console Stage-0 host-adapter, receipt-request, receipt-payload, signature-request-binding, OS-base, and VM-evidence contract surfaces; Panel/installer receipts; Fedora and macOS validation material; Lat/LIR, Nucleus, Nadia, runtime-boundary, kernel-lifecycle, and defensive threat-model notes; and the one-pass field engine research artifact.</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Local report generation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generate local evidence reports.</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Manifest/hash baseline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compare local evidence against declared expectations.</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Policy regression lane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Denied states are part of the test story.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bridge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should surface reports and authority state safely.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local-prefix installer</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 from local installer work</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can operate as user-local, guarded, and receipt-generating.</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enforcement</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handoff metadata only until enforcement exists and is tested.</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Network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network authority.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Root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root installation.</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Kernel/systemd/SELinux integration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or future integration only.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Production host security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host protection, malware prevention, or ransomware prevention.</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Nucleus task boundary</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Report-only task records with no-effect alignment and execution/effect/runtime labels.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classifies and reports task-shaped requests; do not say it executes tasks.</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Nadia offline AI</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Stage-0 through Stage-27 contract metadata; no model runtime, tokenization, context-window assembly, inference, dialogue, or tools.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is an offline-AI contract ladder; do not say it is an active AI assistant.</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macOS app bundle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No-effect user-local app-bundle writer dry-run, commit gate, reset/uninstall dry-run contract, and verification-transcript contract.</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macOS install evidence is being specified; do not say a macOS installer exists.</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Fedora RPM lifecycle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Controlled installroot/disposable-VM RPM evidence and package validation records.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bounded RPM lifecycle evidence exists; do not say Fedora approval or daily-driver readiness.</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Production installer readiness</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Contract-only readiness gate with required future artifacts, transcripts, signatures, rollback, and multi-VM evidence.</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readiness is gated and currently false; do not say Latticra is production installable.</w:t>
            </w:r>
          </w:p>
        </w:tc>
      </w:tr>
      <w:tr>
        <w:tc>
          <w:tcPr>
            <w:tcW w:type="dxa" w:w="3331"/>
          </w:tcPr>
          <w:p>
            <w:pPr>
              <w:spacing w:before="0" w:after="0" w:line="240" w:lineRule="auto"/>
            </w:pPr>
            <w:r>
              <w:rPr>
                <w:rFonts w:ascii="Liberation Sans" w:hAnsi="Liberation Sans" w:eastAsia="Liberation Sans"/>
                <w:sz w:val="16"/>
              </w:rPr>
              <w:t>Seal signed request metadata</w:t>
            </w:r>
          </w:p>
        </w:tc>
        <w:tc>
          <w:tcPr>
            <w:tcW w:type="dxa" w:w="3331"/>
          </w:tcPr>
          <w:p>
            <w:pPr>
              <w:spacing w:before="0" w:after="0" w:line="240" w:lineRule="auto"/>
            </w:pPr>
            <w:r>
              <w:rPr>
                <w:rFonts w:ascii="Liberation Sans" w:hAnsi="Liberation Sans" w:eastAsia="Liberation Sans"/>
                <w:sz w:val="16"/>
              </w:rPr>
              <w:t>Report-only metadata; signing and verification unsupported.</w:t>
            </w:r>
          </w:p>
        </w:tc>
        <w:tc>
          <w:tcPr>
            <w:tcW w:type="dxa" w:w="3331"/>
          </w:tcPr>
          <w:p>
            <w:pPr>
              <w:spacing w:before="0" w:after="0" w:line="240" w:lineRule="auto"/>
            </w:pPr>
            <w:r>
              <w:rPr>
                <w:rFonts w:ascii="Liberation Sans" w:hAnsi="Liberation Sans" w:eastAsia="Liberation Sans"/>
                <w:sz w:val="16"/>
              </w:rPr>
              <w:t>Say Seal records signed-request vocabulary; do not say it signs, verifies, enforces, or trusts requests.</w:t>
            </w:r>
          </w:p>
        </w:tc>
      </w:tr>
      <w:tr>
        <w:tc>
          <w:tcPr>
            <w:tcW w:type="dxa" w:w="3331"/>
          </w:tcPr>
          <w:p>
            <w:pPr>
              <w:spacing w:before="0" w:after="0" w:line="240" w:lineRule="auto"/>
            </w:pPr>
            <w:r>
              <w:rPr>
                <w:rFonts w:ascii="Liberation Sans" w:hAnsi="Liberation Sans" w:eastAsia="Liberation Sans"/>
                <w:sz w:val="16"/>
              </w:rPr>
              <w:t>Seal verification receipt and crypto backend metadata</w:t>
            </w:r>
          </w:p>
        </w:tc>
        <w:tc>
          <w:tcPr>
            <w:tcW w:type="dxa" w:w="3331"/>
          </w:tcPr>
          <w:p>
            <w:pPr>
              <w:spacing w:before="0" w:after="0" w:line="240" w:lineRule="auto"/>
            </w:pPr>
            <w:r>
              <w:rPr>
                <w:rFonts w:ascii="Liberation Sans" w:hAnsi="Liberation Sans" w:eastAsia="Liberation Sans"/>
                <w:sz w:val="16"/>
              </w:rPr>
              <w:t>Baseline receipt/backend metadata remains unverified or unsupported until a later verify-only result is introduced.</w:t>
            </w:r>
          </w:p>
        </w:tc>
        <w:tc>
          <w:tcPr>
            <w:tcW w:type="dxa" w:w="3331"/>
          </w:tcPr>
          <w:p>
            <w:pPr>
              <w:spacing w:before="0" w:after="0" w:line="240" w:lineRule="auto"/>
            </w:pPr>
            <w:r>
              <w:rPr>
                <w:rFonts w:ascii="Liberation Sans" w:hAnsi="Liberation Sans" w:eastAsia="Liberation Sans"/>
                <w:sz w:val="16"/>
              </w:rPr>
              <w:t>Say the predecessor boundary is specified; do not treat backend metadata alone as cryptographic verification.</w:t>
            </w:r>
          </w:p>
        </w:tc>
      </w:tr>
      <w:tr>
        <w:tc>
          <w:tcPr>
            <w:tcW w:type="dxa" w:w="3331"/>
          </w:tcPr>
          <w:p>
            <w:pPr>
              <w:spacing w:before="0" w:after="0" w:line="240" w:lineRule="auto"/>
            </w:pPr>
            <w:r>
              <w:rPr>
                <w:rFonts w:ascii="Liberation Sans" w:hAnsi="Liberation Sans" w:eastAsia="Liberation Sans"/>
                <w:sz w:val="16"/>
              </w:rPr>
              <w:t>Seal capability and effect gates</w:t>
            </w:r>
          </w:p>
        </w:tc>
        <w:tc>
          <w:tcPr>
            <w:tcW w:type="dxa" w:w="3331"/>
          </w:tcPr>
          <w:p>
            <w:pPr>
              <w:spacing w:before="0" w:after="0" w:line="240" w:lineRule="auto"/>
            </w:pPr>
            <w:r>
              <w:rPr>
                <w:rFonts w:ascii="Liberation Sans" w:hAnsi="Liberation Sans" w:eastAsia="Liberation Sans"/>
                <w:sz w:val="16"/>
              </w:rPr>
              <w:t>Denied-by-default metadata with gate_allowed=0, effect_allowed=0, and runtime_authority_granted=0.</w:t>
            </w:r>
          </w:p>
        </w:tc>
        <w:tc>
          <w:tcPr>
            <w:tcW w:type="dxa" w:w="3331"/>
          </w:tcPr>
          <w:p>
            <w:pPr>
              <w:spacing w:before="0" w:after="0" w:line="240" w:lineRule="auto"/>
            </w:pPr>
            <w:r>
              <w:rPr>
                <w:rFonts w:ascii="Liberation Sans" w:hAnsi="Liberation Sans" w:eastAsia="Liberation Sans"/>
                <w:sz w:val="16"/>
              </w:rPr>
              <w:t>Say gates and decisions preserve non-effects; do not say they enforce capabilities or perform host effects.</w:t>
            </w:r>
          </w:p>
        </w:tc>
      </w:tr>
      <w:tr>
        <w:tc>
          <w:tcPr>
            <w:tcW w:type="dxa" w:w="3331"/>
          </w:tcPr>
          <w:p>
            <w:pPr>
              <w:spacing w:before="0" w:after="0" w:line="240" w:lineRule="auto"/>
            </w:pPr>
            <w:r>
              <w:rPr>
                <w:rFonts w:ascii="Liberation Sans" w:hAnsi="Liberation Sans" w:eastAsia="Liberation Sans"/>
                <w:sz w:val="16"/>
              </w:rPr>
              <w:t>Seal Ed25519 verify-only result</w:t>
            </w:r>
          </w:p>
        </w:tc>
        <w:tc>
          <w:tcPr>
            <w:tcW w:type="dxa" w:w="3331"/>
          </w:tcPr>
          <w:p>
            <w:pPr>
              <w:spacing w:before="0" w:after="0" w:line="240" w:lineRule="auto"/>
            </w:pPr>
            <w:r>
              <w:rPr>
                <w:rFonts w:ascii="Liberation Sans" w:hAnsi="Liberation Sans" w:eastAsia="Liberation Sans"/>
                <w:sz w:val="16"/>
              </w:rPr>
              <w:t>Local provider-backed verification of caller-supplied message, public key, and signature bytes; authority-neutral.</w:t>
            </w:r>
          </w:p>
        </w:tc>
        <w:tc>
          <w:tcPr>
            <w:tcW w:type="dxa" w:w="3331"/>
          </w:tcPr>
          <w:p>
            <w:pPr>
              <w:spacing w:before="0" w:after="0" w:line="240" w:lineRule="auto"/>
            </w:pPr>
            <w:r>
              <w:rPr>
                <w:rFonts w:ascii="Liberation Sans" w:hAnsi="Liberation Sans" w:eastAsia="Liberation Sans"/>
                <w:sz w:val="16"/>
              </w:rPr>
              <w:t>Say local Ed25519 verify-only evidence exists; do not claim signing, trust stores, revocation, production crypto, or authority.</w:t>
            </w:r>
          </w:p>
        </w:tc>
      </w:tr>
      <w:tr>
        <w:tc>
          <w:tcPr>
            <w:tcW w:type="dxa" w:w="3331"/>
          </w:tcPr>
          <w:p>
            <w:pPr>
              <w:spacing w:before="0" w:after="0" w:line="240" w:lineRule="auto"/>
            </w:pPr>
            <w:r>
              <w:rPr>
                <w:rFonts w:ascii="Liberation Sans" w:hAnsi="Liberation Sans" w:eastAsia="Liberation Sans"/>
                <w:sz w:val="16"/>
              </w:rPr>
              <w:t>Seal verified receipt promotion</w:t>
            </w:r>
          </w:p>
        </w:tc>
        <w:tc>
          <w:tcPr>
            <w:tcW w:type="dxa" w:w="3331"/>
          </w:tcPr>
          <w:p>
            <w:pPr>
              <w:spacing w:before="0" w:after="0" w:line="240" w:lineRule="auto"/>
            </w:pPr>
            <w:r>
              <w:rPr>
                <w:rFonts w:ascii="Liberation Sans" w:hAnsi="Liberation Sans" w:eastAsia="Liberation Sans"/>
                <w:sz w:val="16"/>
              </w:rPr>
              <w:t>Successful verify-only results can be promoted into verified receipt metadata with authority still zero.</w:t>
            </w:r>
          </w:p>
        </w:tc>
        <w:tc>
          <w:tcPr>
            <w:tcW w:type="dxa" w:w="3331"/>
          </w:tcPr>
          <w:p>
            <w:pPr>
              <w:spacing w:before="0" w:after="0" w:line="240" w:lineRule="auto"/>
            </w:pPr>
            <w:r>
              <w:rPr>
                <w:rFonts w:ascii="Liberation Sans" w:hAnsi="Liberation Sans" w:eastAsia="Liberation Sans"/>
                <w:sz w:val="16"/>
              </w:rPr>
              <w:t>Say evidence promotion; do not say permission promotion, capability authorization, effects, or runtime handoff.</w:t>
            </w:r>
          </w:p>
        </w:tc>
      </w:tr>
      <w:tr>
        <w:tc>
          <w:tcPr>
            <w:tcW w:type="dxa" w:w="3331"/>
          </w:tcPr>
          <w:p>
            <w:pPr>
              <w:spacing w:before="0" w:after="0" w:line="240" w:lineRule="auto"/>
            </w:pPr>
            <w:r>
              <w:rPr>
                <w:rFonts w:ascii="Liberation Sans" w:hAnsi="Liberation Sans" w:eastAsia="Liberation Sans"/>
                <w:sz w:val="16"/>
              </w:rPr>
              <w:t>Seal verified capability gate</w:t>
            </w:r>
          </w:p>
        </w:tc>
        <w:tc>
          <w:tcPr>
            <w:tcW w:type="dxa" w:w="3331"/>
          </w:tcPr>
          <w:p>
            <w:pPr>
              <w:spacing w:before="0" w:after="0" w:line="240" w:lineRule="auto"/>
            </w:pPr>
            <w:r>
              <w:rPr>
                <w:rFonts w:ascii="Liberation Sans" w:hAnsi="Liberation Sans" w:eastAsia="Liberation Sans"/>
                <w:sz w:val="16"/>
              </w:rPr>
              <w:t>Verified receipt metadata can pass a narrow report/evaluate metadata gate with gate_allowed=1 and no effects.</w:t>
            </w:r>
          </w:p>
        </w:tc>
        <w:tc>
          <w:tcPr>
            <w:tcW w:type="dxa" w:w="3331"/>
          </w:tcPr>
          <w:p>
            <w:pPr>
              <w:spacing w:before="0" w:after="0" w:line="240" w:lineRule="auto"/>
            </w:pPr>
            <w:r>
              <w:rPr>
                <w:rFonts w:ascii="Liberation Sans" w:hAnsi="Liberation Sans" w:eastAsia="Liberation Sans"/>
                <w:sz w:val="16"/>
              </w:rPr>
              <w:t>Say metadata-only gate evaluation; do not say capability enforcement, effect execution, or runtime permission.</w:t>
            </w:r>
          </w:p>
        </w:tc>
      </w:tr>
      <w:tr>
        <w:tc>
          <w:tcPr>
            <w:tcW w:type="dxa" w:w="3331"/>
          </w:tcPr>
          <w:p>
            <w:r>
              <w:rPr>
                <w:rFonts w:ascii="Liberation Sans" w:hAnsi="Liberation Sans"/>
                <w:sz w:val="16"/>
              </w:rPr>
              <w:t>Seal verified effect decision</w:t>
            </w:r>
          </w:p>
        </w:tc>
        <w:tc>
          <w:tcPr>
            <w:tcW w:type="dxa" w:w="3331"/>
          </w:tcPr>
          <w:p>
            <w:r>
              <w:rPr>
                <w:rFonts w:ascii="Liberation Sans" w:hAnsi="Liberation Sans"/>
                <w:sz w:val="16"/>
              </w:rPr>
              <w:t>Allowed verified gate metadata can classify report/evaluate requests with effect_allowed=1 while no effect is performed.</w:t>
            </w:r>
          </w:p>
        </w:tc>
        <w:tc>
          <w:tcPr>
            <w:tcW w:type="dxa" w:w="3331"/>
          </w:tcPr>
          <w:p>
            <w:r>
              <w:rPr>
                <w:rFonts w:ascii="Liberation Sans" w:hAnsi="Liberation Sans"/>
                <w:sz w:val="16"/>
              </w:rPr>
              <w:t>Say effect classification metadata; do not say effect execution, host effects, capability enforcement, or runtime permission.</w:t>
            </w:r>
          </w:p>
        </w:tc>
      </w:tr>
      <w:tr>
        <w:tc>
          <w:tcPr>
            <w:tcW w:type="dxa" w:w="3331"/>
          </w:tcPr>
          <w:p>
            <w:r>
              <w:rPr>
                <w:rFonts w:ascii="Liberation Sans" w:hAnsi="Liberation Sans"/>
                <w:sz w:val="16"/>
              </w:rPr>
              <w:t>Seal runtime handoff evaluation</w:t>
            </w:r>
          </w:p>
        </w:tc>
        <w:tc>
          <w:tcPr>
            <w:tcW w:type="dxa" w:w="3331"/>
          </w:tcPr>
          <w:p>
            <w:r>
              <w:rPr>
                <w:rFonts w:ascii="Liberation Sans" w:hAnsi="Liberation Sans"/>
                <w:sz w:val="16"/>
              </w:rPr>
              <w:t>Allowed metadata-only effect decisions can become handoff_eligible=1 with no handoff performed.</w:t>
            </w:r>
          </w:p>
        </w:tc>
        <w:tc>
          <w:tcPr>
            <w:tcW w:type="dxa" w:w="3331"/>
          </w:tcPr>
          <w:p>
            <w:r>
              <w:rPr>
                <w:rFonts w:ascii="Liberation Sans" w:hAnsi="Liberation Sans"/>
                <w:sz w:val="16"/>
              </w:rPr>
              <w:t>Say handoff eligibility classification; do not say runtime handoff execution or runtime authority.</w:t>
            </w:r>
          </w:p>
        </w:tc>
      </w:tr>
      <w:tr>
        <w:tc>
          <w:tcPr>
            <w:tcW w:type="dxa" w:w="3331"/>
          </w:tcPr>
          <w:p>
            <w:r>
              <w:rPr>
                <w:rFonts w:ascii="Liberation Sans" w:hAnsi="Liberation Sans"/>
                <w:sz w:val="16"/>
              </w:rPr>
              <w:t>Seal runtime handoff report</w:t>
            </w:r>
          </w:p>
        </w:tc>
        <w:tc>
          <w:tcPr>
            <w:tcW w:type="dxa" w:w="3331"/>
          </w:tcPr>
          <w:p>
            <w:r>
              <w:rPr>
                <w:rFonts w:ascii="Liberation Sans" w:hAnsi="Liberation Sans"/>
                <w:sz w:val="16"/>
              </w:rPr>
              <w:t>Eligible handoff metadata can become report_ready=1 with no runtime handoff or effect execution.</w:t>
            </w:r>
          </w:p>
        </w:tc>
        <w:tc>
          <w:tcPr>
            <w:tcW w:type="dxa" w:w="3331"/>
          </w:tcPr>
          <w:p>
            <w:r>
              <w:rPr>
                <w:rFonts w:ascii="Liberation Sans" w:hAnsi="Liberation Sans"/>
                <w:sz w:val="16"/>
              </w:rPr>
              <w:t>Say report-readiness metadata; do not say runtime bridge, enforcement, or host/network behavior.</w:t>
            </w:r>
          </w:p>
        </w:tc>
      </w:tr>
      <w:tr>
        <w:tc>
          <w:tcPr>
            <w:tcW w:type="dxa" w:w="3331"/>
          </w:tcPr>
          <w:p>
            <w:r>
              <w:rPr>
                <w:rFonts w:ascii="Liberation Sans" w:hAnsi="Liberation Sans"/>
                <w:sz w:val="16"/>
              </w:rPr>
              <w:t>Seal report envelope</w:t>
            </w:r>
          </w:p>
        </w:tc>
        <w:tc>
          <w:tcPr>
            <w:tcW w:type="dxa" w:w="3331"/>
          </w:tcPr>
          <w:p>
            <w:r>
              <w:rPr>
                <w:rFonts w:ascii="Liberation Sans" w:hAnsi="Liberation Sans"/>
                <w:sz w:val="16"/>
              </w:rPr>
              <w:t>Ready runtime-handoff report metadata can become envelope_ready=1 while unsigned and object-unsealed.</w:t>
            </w:r>
          </w:p>
        </w:tc>
        <w:tc>
          <w:tcPr>
            <w:tcW w:type="dxa" w:w="3331"/>
          </w:tcPr>
          <w:p>
            <w:r>
              <w:rPr>
                <w:rFonts w:ascii="Liberation Sans" w:hAnsi="Liberation Sans"/>
                <w:sz w:val="16"/>
              </w:rPr>
              <w:t>Say envelope classification metadata; do not say signing, object sealing, runtime handoff, or authority.</w:t>
            </w:r>
          </w:p>
        </w:tc>
      </w:tr>
      <w:tr>
        <w:tc>
          <w:tcPr>
            <w:tcW w:type="dxa" w:w="3331"/>
          </w:tcPr>
          <w:p>
            <w:r>
              <w:rPr>
                <w:rFonts w:ascii="Liberation Sans" w:hAnsi="Liberation Sans"/>
                <w:sz w:val="16"/>
              </w:rPr>
              <w:t>Seal signature request</w:t>
            </w:r>
          </w:p>
        </w:tc>
        <w:tc>
          <w:tcPr>
            <w:tcW w:type="dxa" w:w="3331"/>
          </w:tcPr>
          <w:p>
            <w:r>
              <w:rPr>
                <w:rFonts w:ascii="Liberation Sans" w:hAnsi="Liberation Sans"/>
                <w:sz w:val="16"/>
              </w:rPr>
              <w:t>Ready report-envelope metadata can request Ed25519-development signing as metadata with signature_request_ready=1 and no signing.</w:t>
            </w:r>
          </w:p>
        </w:tc>
        <w:tc>
          <w:tcPr>
            <w:tcW w:type="dxa" w:w="3331"/>
          </w:tcPr>
          <w:p>
            <w:r>
              <w:rPr>
                <w:rFonts w:ascii="Liberation Sans" w:hAnsi="Liberation Sans"/>
                <w:sz w:val="16"/>
              </w:rPr>
              <w:t>Say signature-request classification; do not say Ed25519 signing, verification, private-key handling, or trust establishment.</w:t>
            </w:r>
          </w:p>
        </w:tc>
      </w:tr>
      <w:tr>
        <w:tc>
          <w:tcPr>
            <w:tcW w:type="dxa" w:w="3331"/>
          </w:tcPr>
          <w:p>
            <w:r>
              <w:t>LC host-adapter contract</w:t>
            </w:r>
          </w:p>
        </w:tc>
        <w:tc>
          <w:tcPr>
            <w:tcW w:type="dxa" w:w="3331"/>
          </w:tcPr>
          <w:p>
            <w:r>
              <w:t>Metadata-only contract; host_adapter_present=0, host process/file/network/runtime/boot authority denied.</w:t>
            </w:r>
          </w:p>
        </w:tc>
        <w:tc>
          <w:tcPr>
            <w:tcW w:type="dxa" w:w="3331"/>
          </w:tcPr>
          <w:p>
            <w:r>
              <w:t>Say LC exposes the adapter boundary for review; do not say a host adapter exists, probes the host, or embeds into the host.</w:t>
            </w:r>
          </w:p>
        </w:tc>
      </w:tr>
      <w:tr>
        <w:tc>
          <w:tcPr>
            <w:tcW w:type="dxa" w:w="3331"/>
          </w:tcPr>
          <w:p>
            <w:r>
              <w:t>LC receipt and signature bridge</w:t>
            </w:r>
          </w:p>
        </w:tc>
        <w:tc>
          <w:tcPr>
            <w:tcW w:type="dxa" w:w="3331"/>
          </w:tcPr>
          <w:p>
            <w:r>
              <w:t>Metadata-only receipt request, payload schema, artifact draft, and signature-request binding; payload_artifact_present=0, seal_signature_request_present=0, receipt_write_allowed=0.</w:t>
            </w:r>
          </w:p>
        </w:tc>
        <w:tc>
          <w:tcPr>
            <w:tcW w:type="dxa" w:w="3331"/>
          </w:tcPr>
          <w:p>
            <w:r>
              <w:t>Say LC reserves the Seal receipt path; do not say it materializes payloads, writes receipts, signs, verifies, or hands off to a signer.</w:t>
            </w:r>
          </w:p>
        </w:tc>
      </w:tr>
      <w:tr>
        <w:tc>
          <w:tcPr>
            <w:tcW w:type="dxa" w:w="3331"/>
          </w:tcPr>
          <w:p>
            <w:r>
              <w:t>LC OS-base and VM evidence contracts</w:t>
            </w:r>
          </w:p>
        </w:tc>
        <w:tc>
          <w:tcPr>
            <w:tcW w:type="dxa" w:w="3331"/>
          </w:tcPr>
          <w:p>
            <w:r>
              <w:t>Metadata-only planning/evidence contracts; os_base_enabled=0, vm_evidence_capture_enabled=0, boot_authority=0, production_os_claim=0.</w:t>
            </w:r>
          </w:p>
        </w:tc>
        <w:tc>
          <w:tcPr>
            <w:tcW w:type="dxa" w:w="3331"/>
          </w:tcPr>
          <w:p>
            <w:r>
              <w:t>Say LC records OS/VM promotion gates; do not say it boots, launches VMs, touches hypervisors, writes disk images, or replaces an OS.</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claim c:</w:t>
              <w:br/>
              <w:t xml:space="preserve">    require evidence, tests, and implementation support</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Console,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Project tooling lane; details should be specified by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Intermediate representation or contract surface; should remain test-driven.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r>
        <w:tc>
          <w:tcPr>
            <w:tcW w:type="dxa" w:w="3331"/>
          </w:tcPr>
          <w:p>
            <w:pPr/>
            <w:r>
              <w:rPr>
                <w:rFonts w:ascii="Liberation Sans" w:hAnsi="Liberation Sans"/>
                <w:sz w:val="16"/>
              </w:rPr>
              <w:t>LC</w:t>
            </w:r>
          </w:p>
        </w:tc>
        <w:tc>
          <w:tcPr>
            <w:tcW w:type="dxa" w:w="3331"/>
          </w:tcPr>
          <w:p>
            <w:r>
              <w:t>latticra-lc, command registry, profiles, host/receipt/OS contract reports</w:t>
            </w:r>
          </w:p>
        </w:tc>
        <w:tc>
          <w:tcPr>
            <w:tcW w:type="dxa" w:w="3331"/>
          </w:tcPr>
          <w:p>
            <w:r>
              <w:t>Operator command surface with no-effect metadata, host-adapter and receipt-request contracts, OS/VM evidence planning, and future gates.</w:t>
            </w:r>
          </w:p>
        </w:tc>
      </w:tr>
      <w:tr>
        <w:tc>
          <w:tcPr>
            <w:tcW w:type="dxa" w:w="3331"/>
          </w:tcPr>
          <w:p>
            <w:pPr/>
            <w:r>
              <w:rPr>
                <w:rFonts w:ascii="Liberation Sans" w:hAnsi="Liberation Sans"/>
                <w:sz w:val="16"/>
              </w:rPr>
              <w:t>Nucleus</w:t>
            </w:r>
          </w:p>
        </w:tc>
        <w:tc>
          <w:tcPr>
            <w:tcW w:type="dxa" w:w="3331"/>
          </w:tcPr>
          <w:p>
            <w:pPr/>
            <w:r>
              <w:rPr>
                <w:rFonts w:ascii="Liberation Sans" w:hAnsi="Liberation Sans"/>
                <w:sz w:val="16"/>
              </w:rPr>
              <w:t>nucleus task records and report-only runners</w:t>
            </w:r>
          </w:p>
        </w:tc>
        <w:tc>
          <w:tcPr>
            <w:tcW w:type="dxa" w:w="3331"/>
          </w:tcPr>
          <w:p>
            <w:pPr/>
            <w:r>
              <w:rPr>
                <w:rFonts w:ascii="Liberation Sans" w:hAnsi="Liberation Sans"/>
                <w:sz w:val="16"/>
              </w:rPr>
              <w:t>Coordinate task-boundary metadata without effect-performing execution.</w:t>
            </w:r>
          </w:p>
        </w:tc>
      </w:tr>
      <w:tr>
        <w:tc>
          <w:tcPr>
            <w:tcW w:type="dxa" w:w="3331"/>
          </w:tcPr>
          <w:p>
            <w:pPr/>
            <w:r>
              <w:rPr>
                <w:rFonts w:ascii="Liberation Sans" w:hAnsi="Liberation Sans"/>
                <w:sz w:val="16"/>
              </w:rPr>
              <w:t>Nadia</w:t>
            </w:r>
          </w:p>
        </w:tc>
        <w:tc>
          <w:tcPr>
            <w:tcW w:type="dxa" w:w="3331"/>
          </w:tcPr>
          <w:p>
            <w:pPr/>
            <w:r>
              <w:rPr>
                <w:rFonts w:ascii="Liberation Sans" w:hAnsi="Liberation Sans"/>
                <w:sz w:val="16"/>
              </w:rPr>
              <w:t>latticra-nadia, Panel component, Console metadata</w:t>
            </w:r>
          </w:p>
        </w:tc>
        <w:tc>
          <w:tcPr>
            <w:tcW w:type="dxa" w:w="3331"/>
          </w:tcPr>
          <w:p>
            <w:pPr/>
            <w:r>
              <w:rPr>
                <w:rFonts w:ascii="Liberation Sans" w:hAnsi="Liberation Sans"/>
                <w:sz w:val="16"/>
              </w:rPr>
              <w:t>Offline-AI contract ladder with denied model, tokenizer, prompt, runtime, and tool authority.</w:t>
            </w:r>
          </w:p>
        </w:tc>
      </w:tr>
      <w:tr>
        <w:tc>
          <w:tcPr>
            <w:tcW w:type="dxa" w:w="3331"/>
          </w:tcPr>
          <w:p>
            <w:pPr/>
            <w:r>
              <w:rPr>
                <w:rFonts w:ascii="Liberation Sans" w:hAnsi="Liberation Sans"/>
                <w:sz w:val="16"/>
              </w:rPr>
              <w:t>Platform install lanes</w:t>
            </w:r>
          </w:p>
        </w:tc>
        <w:tc>
          <w:tcPr>
            <w:tcW w:type="dxa" w:w="3331"/>
          </w:tcPr>
          <w:p>
            <w:pPr/>
            <w:r>
              <w:rPr>
                <w:rFonts w:ascii="Liberation Sans" w:hAnsi="Liberation Sans"/>
                <w:sz w:val="16"/>
              </w:rPr>
              <w:t>macOS contracts, Fedora RPM lanes, production readiness gates</w:t>
            </w:r>
          </w:p>
        </w:tc>
        <w:tc>
          <w:tcPr>
            <w:tcW w:type="dxa" w:w="3331"/>
          </w:tcPr>
          <w:p>
            <w:pPr/>
            <w:r>
              <w:rPr>
                <w:rFonts w:ascii="Liberation Sans" w:hAnsi="Liberation Sans"/>
                <w:sz w:val="16"/>
              </w:rPr>
              <w:t>Convert host-facing install claims into dry-run reports, bounded transcripts, and explicit non-readiness evidence.</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2"/>
      </w:pPr>
      <w:r>
        <w:t>4.3 Latticra Console as operator surface</w:t>
      </w:r>
    </w:p>
    <w:p>
      <w:pPr>
        <w:pStyle w:val="BodyTight"/>
      </w:pPr>
      <w:r>
        <w:t>Latticra Console, or LC, is the planned operator base for the substrate. Stage 0 makes LC visible without granting host authority: it is panel-installable, configurable, backed by a seed command registry, bound to Runtime Boundary classification plus Seal capability labels, and now extended with inspectable host, receipt, OS-base, and VM-evidence contract surfaces.</w:t>
      </w:r>
    </w:p>
    <w:p>
      <w:pPr>
        <w:pStyle w:val="ListBullet"/>
      </w:pPr>
      <w:r>
        <w:t>LC command metadata records name, usage, category, effect, capability label, no-effect status, panel visibility, host-process launch status, and future-gate requirements.</w:t>
      </w:r>
    </w:p>
    <w:p>
      <w:pPr>
        <w:pStyle w:val="ListBullet"/>
      </w:pPr>
      <w:r>
        <w:t>The current report surface is ready-report-only: command registry no-effect is preserved, host process launch is denied, and execution, host mutation, network, runtime enforcement, and boot authority remain zero.</w:t>
      </w:r>
    </w:p>
    <w:p>
      <w:pPr>
        <w:pStyle w:val="ListBullet"/>
      </w:pPr>
      <w:r>
        <w:t>Future host embedding and OS-base directions are planning profiles only; they do not replace a host OS, launch shell commands, or create boot/runtime authority.</w:t>
      </w:r>
    </w:p>
    <w:p>
      <w:pPr>
        <w:pStyle w:val="ListBullet"/>
      </w:pPr>
      <w:r>
        <w:t>LC contract commands now include lc host-adapter, lc receipt-request, lc receipt-payload, lc receipt-artifact, lc signature-request, lc os-contract, and lc vm-evidence. They are review surfaces, not effect surfaces.</w:t>
      </w:r>
    </w:p>
    <w:p>
      <w:pPr>
        <w:pStyle w:val="ListBullet"/>
      </w:pPr>
      <w:r>
        <w:t>The important zeroes are part of the operator contract: host_adapter_present=0, payload_artifact_present=0, seal_signature_request_present=0, receipt_write_allowed=0, vm_evidence_artifact_present=0, boot_authority=0, and production_os_claim=0.</w:t>
      </w:r>
    </w:p>
    <w:p>
      <w:pPr>
        <w:pStyle w:val="Heading2"/>
      </w:pPr>
      <w:r>
        <w:t>4.4 Nucleus and Nadia as AI-era boundary surfaces</w:t>
      </w:r>
    </w:p>
    <w:p>
      <w:pPr>
        <w:pStyle w:val="BodyTight"/>
      </w:pPr>
      <w:r>
        <w:t>Nucleus and Nadia extend the substrate into AI-era work, but only as boundary surfaces first. Their value is not that they make the project autonomous today; it is that they force task requests, prompt chains, tokenizer artifacts, model readiness, tool authority, and future runtime entry points into explicit metadata before any effect-performing behavior can exist.</w:t>
      </w:r>
    </w:p>
    <w:p>
      <w:pPr>
        <w:pStyle w:val="ListBullet"/>
      </w:pPr>
      <w:r>
        <w:t>Nucleus currently records classification and policy posture for task-shaped requests. Its report refinements make execution_status=not-executed, effect_status=report-only, runtime_status=not-entered, no_effect_policy=preserved, and representation_gate=language-representation-reviewed visible in deterministic output.</w:t>
      </w:r>
    </w:p>
    <w:p>
      <w:pPr>
        <w:pStyle w:val="ListBullet"/>
      </w:pPr>
      <w:r>
        <w:t>Nadia is an optional offline-AI foundation, not an active AI assistant. Stage-0 through Stage-27 establish identity, Panel and Console surfaces, local context metadata, runtime/profile contracts, prompt and model contracts, tokenizer artifact contracts, prompt-tokenization contracts, and prompt-token-sequence contracts, and context-window assembly contracts while keeping model runtime, prompt reading, token creation, context-window assembly, prompt-evaluation-input creation, inference, dialogue generation, network access, source mutation, and tool execution denied.</w:t>
      </w:r>
    </w:p>
    <w:p>
      <w:pPr>
        <w:pStyle w:val="ListBullet"/>
      </w:pPr>
      <w:r>
        <w:t>The shared rule is evidence before capability. A future AI-adjacent command must pass through command-registry metadata, Nucleus task records, Runtime Boundary labels, Seal report surfaces, and explicit tests before any authority widens.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2"/>
      </w:pPr>
      <w:r>
        <w:rPr>
          <w:rFonts w:ascii="Liberation Serif" w:hAnsi="Liberation Serif" w:eastAsia="Liberation Serif"/>
        </w:rPr>
        <w:t>5.6 Seal trust and crypto metadata ladder</w:t>
      </w:r>
    </w:p>
    <w:p>
      <w:pPr>
        <w:pStyle w:val="BodyTight"/>
      </w:pPr>
      <w:r>
        <w:t>Seal now has enough trust-adjacent contract surface to name a ladder without pretending the ladder already grants authority. The stages are signed request metadata, request freshness metadata, verification policy metadata, verification receipt metadata, crypto verify backend metadata, Ed25519 verify-only result metadata, verified receipt promotion metadata, verified capability gate metadata, verified effect decision metadata, runtime handoff evaluation metadata, runtime handoff report metadata, report envelope metadata, and signature request metadata. Each stage records the next question before the project is allowed to answer it with effects.</w:t>
      </w:r>
    </w:p>
    <w:p>
      <w:pPr>
        <w:pStyle w:val="BodyTight"/>
      </w:pPr>
      <w:r>
        <w:rPr>
          <w:rFonts w:ascii="Liberation Serif" w:hAnsi="Liberation Serif" w:eastAsia="Liberation Serif"/>
        </w:rPr>
        <w:t>Signed request records may describe identity, context, parameters, freshness, policy binding, algorithms, key identifiers, and signature hashes, but the signed-request posture is still report-only. Signature generation, signed-request verification, public trust lookup, revocation lookup, signed-request enforcement, host effects, and runtime authority remain zero claims even though a separate local verify-only primitive now exists.</w:t>
      </w:r>
    </w:p>
    <w:p>
      <w:pPr>
        <w:pStyle w:val="BodyTight"/>
      </w:pPr>
      <w:r>
        <w:rPr>
          <w:rFonts w:ascii="Liberation Serif" w:hAnsi="Liberation Serif" w:eastAsia="Liberation Serif"/>
        </w:rPr>
        <w:t>Verification receipts are intentionally weaker than authority. The baseline receipt profile records unverified metadata: verification_state=unsupported, receipt_state=unverified-metadata, cryptographic_verification_performed=0, verified=0, authority_usable=0, capability_gate_allowed=0, and runtime_authority_granted=0. A later verified receipt promotion may change the evidence state to verified, but not the permission state.</w:t>
      </w:r>
    </w:p>
    <w:p>
      <w:pPr>
        <w:pStyle w:val="BodyTight"/>
      </w:pPr>
      <w:r>
        <w:rPr>
          <w:rFonts w:ascii="Liberation Serif" w:hAnsi="Liberation Serif" w:eastAsia="Liberation Serif"/>
        </w:rPr>
        <w:t>The crypto verify backend remains the metadata boundary that names the provider path. The later Ed25519 verify-only result surface is separate: it can perform a local provider-backed verification over caller-supplied bytes, while the backend contract still carries no trust store, revocation lookup, network behavior, capability authorization, or runtime authority. Post-quantum algorithm labels such as ML-DSA-planned and SLH-DSA-planned remain roadmap vocabulary, not current verification support.</w:t>
      </w:r>
    </w:p>
    <w:p>
      <w:pPr>
        <w:pStyle w:val="BodyTight"/>
      </w:pPr>
      <w:r>
        <w:t>Capability gates, verified effect decisions, runtime handoff reports, report envelopes, and signature requests close the current ladder. A verified capability gate may set gate_allowed=1; a verified effect decision may set effect_allowed=1; a runtime handoff evaluation may set handoff_eligible=1; a runtime handoff report may set report_ready=1; a report envelope may set envelope_ready=1; and a signature request may set signature_request_ready=1. None of those flags means an effect ran, a handoff happened, an object was sealed, a signature was produced, or authority was granted.</w:t>
      </w:r>
    </w:p>
    <w:p>
      <w:pPr>
        <w:pStyle w:val="Heading2"/>
      </w:pPr>
      <w:r>
        <w:rPr>
          <w:rFonts w:ascii="Liberation Serif" w:hAnsi="Liberation Serif" w:eastAsia="Liberation Serif"/>
        </w:rPr>
        <w:t>5.7 Ed25519 verify-only and verified receipt promotion</w:t>
      </w:r>
    </w:p>
    <w:p>
      <w:pPr>
        <w:pStyle w:val="BodyTight"/>
      </w:pPr>
      <w:r>
        <w:rPr>
          <w:rFonts w:ascii="Liberation Serif" w:hAnsi="Liberation Serif" w:eastAsia="Liberation Serif"/>
        </w:rPr>
        <w:t>The first real cryptographic operation in the current Seal lane is local Ed25519 verify-only. It accepts caller-supplied message bytes, caller-supplied 32-byte Ed25519 public-key bytes, caller-supplied 64-byte signature bytes, and an existing crypto verify backend metadata record. It uses OpenSSL EVP rather than handwritten curve arithmetic, computes a SHA-256 message digest for reporting, and renders deterministic result metadata.</w:t>
      </w:r>
    </w:p>
    <w:p>
      <w:pPr>
        <w:pStyle w:val="BodyTight"/>
      </w:pPr>
      <w:r>
        <w:rPr>
          <w:rFonts w:ascii="Liberation Serif" w:hAnsi="Liberation Serif" w:eastAsia="Liberation Serif"/>
        </w:rPr>
        <w:t>A successful verify-only result may set crypto_verify_state=verified, cryptographic_verification_supported=1, cryptographic_verification_performed=1, verified=1, invalid=0, and status=ed25519-verified. That is a meaningful evidence upgrade, but it is not a trust-store result, not revocation checking, not signing, not private-key handling, not production cryptography certification, and not authority.</w:t>
      </w:r>
    </w:p>
    <w:p>
      <w:pPr>
        <w:pStyle w:val="BodyTight"/>
      </w:pPr>
      <w:r>
        <w:rPr>
          <w:rFonts w:ascii="Liberation Serif" w:hAnsi="Liberation Serif" w:eastAsia="Liberation Serif"/>
        </w:rPr>
        <w:t>Verified receipt promotion consumes only a successful Ed25519 verify-only result and turns it into deterministic verified receipt metadata: verification_state=verified, receipt_state=verified, cryptographic_verification_performed=1, and verified=1. The promotion is evidence promotion, not permission promotion. It must preserve authority_usable=0, capability_gate_allowed=0, runtime_authority_granted=0, capability_authorization_added=0, effect_execution_added=0, host behavior unchanged, and network behavior unchanged.</w:t>
      </w:r>
    </w:p>
    <w:p>
      <w:pPr>
        <w:pStyle w:val="BodyTight"/>
      </w:pPr>
      <w:r>
        <w:rPr>
          <w:rFonts w:ascii="Liberation Serif" w:hAnsi="Liberation Serif" w:eastAsia="Liberation Serif"/>
        </w:rPr>
        <w:t>This distinction is now central to the Seal story. Latticra can say that local verify-only evidence and authority-neutral verified receipt metadata exist. It still must not say that verified receipts authorize capabilities, execute effects, contact trust infrastructure, enforce runtime behavior, or make production security claims.</w:t>
      </w:r>
    </w:p>
    <w:p>
      <w:pPr>
        <w:pStyle w:val="Heading2"/>
      </w:pPr>
      <w:r>
        <w:rPr>
          <w:rFonts w:ascii="Liberation Serif" w:hAnsi="Liberation Serif" w:eastAsia="Liberation Serif"/>
        </w:rPr>
        <w:t>5.8 Verified capability gate metadata</w:t>
      </w:r>
    </w:p>
    <w:p>
      <w:pPr>
        <w:pStyle w:val="BodyTight"/>
      </w:pPr>
      <w:r>
        <w:rPr>
          <w:rFonts w:ascii="Liberation Serif" w:hAnsi="Liberation Serif" w:eastAsia="Liberation Serif"/>
        </w:rPr>
        <w:t>The verified capability gate consumes verified receipt promotion metadata plus requested capability, effect, and scope labels. Its initial allowlist is intentionally narrow: verified-receipt-inspection and verified-receipt-report as capability labels, and report-only or evaluate-only as effect labels.</w:t>
      </w:r>
    </w:p>
    <w:p>
      <w:pPr>
        <w:pStyle w:val="BodyTight"/>
      </w:pPr>
      <w:r>
        <w:rPr>
          <w:rFonts w:ascii="Liberation Serif" w:hAnsi="Liberation Serif" w:eastAsia="Liberation Serif"/>
        </w:rPr>
        <w:t>A successful metadata-only gate may set gate_allowed=1 and gate_state=allowed-metadata-only. That phrase must be read literally. It means the gate evaluation accepted a local metadata request; it does not mean capability enforcement, effect execution, host reads, host writes, network access, tool execution, shell execution, policy persistence, or runtime authority.</w:t>
      </w:r>
    </w:p>
    <w:p>
      <w:pPr>
        <w:pStyle w:val="BodyTight"/>
      </w:pPr>
      <w:r>
        <w:t>The current status shape is therefore subtle and useful: receipt_state=verified, verification_state=verified, verified=1, gate_allowed=1, gate_state=allowed-metadata-only, authority_usable=0, receipt_capability_gate_allowed=0, runtime_authority_granted=0, effect_performed=0, host_read_performed=0, host_write_performed=0, and network_performed=0. The next valid rung is verified effect decision evaluation from an allowed metadata-only gate.</w:t>
      </w:r>
    </w:p>
    <w:p>
      <w:pPr>
        <w:pStyle w:val="Heading2"/>
      </w:pPr>
      <w:r>
        <w:t>5.9 Verified effect decision metadata</w:t>
      </w:r>
    </w:p>
    <w:p>
      <w:pPr>
        <w:pStyle w:val="BodyTight"/>
      </w:pPr>
      <w:r>
        <w:t>The verified effect decision consumes an allowed verified capability gate and a requested effect label. Its narrow policy accepts only report-only and evaluate-only requests from gate_state=allowed-metadata-only, with gate_allowed=1 and all performed/authority fields still zero.</w:t>
      </w:r>
    </w:p>
    <w:p>
      <w:pPr>
        <w:pStyle w:val="BodyTight"/>
      </w:pPr>
      <w:r>
        <w:t>A successful decision may set effect_allowed=1 and decision_state=allowed-report-only or decision_state=allowed-evaluate-only. That is effect classification metadata, not effect execution. It must preserve effect_performed=0, runtime_authority_granted=0, host_read_performed=0, host_write_performed=0, and network_performed=0.</w:t>
      </w:r>
    </w:p>
    <w:p>
      <w:pPr>
        <w:pStyle w:val="Heading2"/>
      </w:pPr>
      <w:r>
        <w:t>5.10 Runtime handoff evaluation and report metadata</w:t>
      </w:r>
    </w:p>
    <w:p>
      <w:pPr>
        <w:pStyle w:val="BodyTight"/>
      </w:pPr>
      <w:r>
        <w:t>Runtime handoff evaluation consumes a metadata-only verified effect decision and asks whether it is eligible to be described as a future handoff candidate. A successful evaluation may set handoff_eligible=1 and handoff_state=eligible-report-only or eligible-evaluate-only while still preserving handoff_performed=0 and runtime_authority_granted=0.</w:t>
      </w:r>
    </w:p>
    <w:p>
      <w:pPr>
        <w:pStyle w:val="BodyTight"/>
      </w:pPr>
      <w:r>
        <w:t>The runtime handoff report layer consumes eligible handoff evaluation metadata and produces report-readiness metadata. It may set report_ready=1 and report_state=ready-report-only or ready-evaluate-only, but it still does not perform a runtime handoff, execute an effect, enforce a capability, read or write host state, contact a network, or grant authority.</w:t>
      </w:r>
    </w:p>
    <w:p>
      <w:pPr>
        <w:pStyle w:val="Heading2"/>
      </w:pPr>
      <w:r>
        <w:t>5.11 Report envelope and signature request metadata</w:t>
      </w:r>
    </w:p>
    <w:p>
      <w:pPr>
        <w:pStyle w:val="BodyTight"/>
      </w:pPr>
      <w:r>
        <w:t>The report envelope layer consumes ready runtime handoff report metadata and classifies whether a report/evaluate record may be wrapped into deterministic envelope metadata. A successful envelope may set envelope_ready=1 and envelope_state=sealed-report-only or sealed-evaluate-only, but the name is deliberately narrow: it is metadata-only, unsigned, object-unsealed, and authority-neutral.</w:t>
      </w:r>
    </w:p>
    <w:p>
      <w:pPr>
        <w:pStyle w:val="BodyTight"/>
      </w:pPr>
      <w:r>
        <w:t>The signature request layer consumes ready report-envelope metadata and classifies an Ed25519-development request label as signature_request_state=requested-metadata-only with signature_request_ready=1. It is request classification, not signing or verification. It must preserve signature_performed=0, verification_performed=0, private_key_handling=0, handoff_performed=0, effect_performed=0, runtime_authority_granted=0, host_read_performed=0, host_write_performed=0, and network_performed=0.</w:t>
      </w: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2"/>
      </w:pPr>
      <w:r>
        <w:t>6.4 Platform install lanes</w:t>
      </w:r>
    </w:p>
    <w:p>
      <w:pPr>
        <w:pStyle w:val="BodyTight"/>
      </w:pPr>
      <w:r>
        <w:t>Platform install work belongs in the substrate only when the target, authority, transcript, and rollback story are named. Latticra now has enough macOS and Fedora evidence to describe platform lanes, but the lanes remain deliberately short of production installer readiness.</w:t>
      </w:r>
    </w:p>
    <w:p>
      <w:pPr>
        <w:pStyle w:val="ListBullet"/>
      </w:pPr>
      <w:r>
        <w:t>The macOS lane is user-local and no-effect today: app bundle writer dry-runs, local candidate probes, commit-gate reports, reset/uninstall dry-run contracts, and verification-transcript contracts define what a future managed writer must prove before any app bundle or Application Support file is written.</w:t>
      </w:r>
    </w:p>
    <w:p>
      <w:pPr>
        <w:pStyle w:val="ListBullet"/>
      </w:pPr>
      <w:r>
        <w:t>The Fedora lane distinguishes controlled installroot and disposable-VM RPM validation from live-host installation. It can build or inspect local RPM payloads under explicit gates, but Fedora approval, immutable-host support, daily-driver readiness, and production installer readiness stay false.</w:t>
      </w:r>
    </w:p>
    <w:p>
      <w:pPr>
        <w:pStyle w:val="ListBullet"/>
      </w:pPr>
      <w:r>
        <w:t>The production installer readiness contract is the promotion boundary. It requires reproducible artifacts, checksums, signatures, SBOM/license metadata, install/uninstall/rollback transcripts, unsupported-target blocking, multi-VM validation, and public non-claims before production_installer_ready can ever become 1.</w:t>
      </w:r>
    </w:p>
    <w:p>
      <w:pPr>
        <w:pStyle w:val="Heading2"/>
      </w:pPr>
      <w:r>
        <w:t>6.5 Latticra Console receipt and host contract bridge</w:t>
      </w:r>
    </w:p>
    <w:p>
      <w:pPr>
        <w:pStyle w:val="BodyTight"/>
      </w:pPr>
      <w:r>
        <w:t>LC extends the Panel/install story by installing metadata-only contract files and reports for host embedding, host inventory, host adapter, receipts, receipt requests, payload schema, payload artifact draft, signature-request binding, OS-base planning, and VM evidence. These records make the future promotion path visible before any host adapter, payload artifact, signature request, receipt writer, VM launcher, or OS-base behavior exists.</w:t>
      </w:r>
    </w:p>
    <w:p>
      <w:pPr>
        <w:pStyle w:val="BodyTight"/>
      </w:pPr>
      <w:r>
        <w:t>The bridge is deliberately inert. The installed surfaces can say request_contract_present=1, schema_present=1, draft_contract_present=1, binding_contract_present=1, os_base_contract_present=1, and vm_evidence_contract_present=1, while also preserving host_adapter_present=0, payload_materialized=0, signature_request_binding_allowed=0, seal_signature_request_present=0, receipt_write_allowed=0, vm_launch_allowed=0, and boot_allowed=0.</w:t>
      </w:r>
    </w:p>
    <w:p>
      <w:pPr>
        <w:pStyle w:val="BodyTight"/>
      </w:pPr>
      <w:r>
        <w:t>A reviewer should treat these Console records as preconditions for later work: they name the receipts, operator consent, runtime-boundary binding, and Seal capability labels that must exist before host embedding, signing, OS-base, or VM-adjacent behavior can be promoted.</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25 notes, the Lat path is parser -&gt; semantic validation -&gt; normalized model -&gt; model-aware Lat-to-LIR lowering -&gt; pipeline and diagnostic reports. This gives the project a stronger internal story than a raw parser: declarations, clauses, transition sources, operators, and first-item report metadata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2"/>
      </w:pPr>
      <w:r>
        <w:rPr>
          <w:rFonts w:ascii="Liberation Serif" w:hAnsi="Liberation Serif" w:eastAsia="Liberation Serif"/>
        </w:rPr>
        <w:t>11.4 Verification receipts and authority handoff</w:t>
      </w:r>
    </w:p>
    <w:p>
      <w:pPr>
        <w:pStyle w:val="BodyTight"/>
      </w:pPr>
      <w:r>
        <w:rPr>
          <w:rFonts w:ascii="Liberation Serif" w:hAnsi="Liberation Serif" w:eastAsia="Liberation Serif"/>
        </w:rPr>
        <w:t>A verification receipt should be treated as a witness object in the graph, not as a permission slip. It records the relationship among artifact digest, signature profile, signer identity label, public-key identity label, verification policy profile, requested receipt mode, and verification state.</w:t>
      </w:r>
    </w:p>
    <w:p>
      <w:pPr>
        <w:pStyle w:val="BodyTight"/>
      </w:pPr>
      <w:r>
        <w:rPr>
          <w:rFonts w:ascii="Liberation Serif" w:hAnsi="Liberation Serif" w:eastAsia="Liberation Serif"/>
        </w:rPr>
        <w:t>The handoff rule is deliberately segmented: signature metadata is not verification; verification is not a receipt; a receipt is not a capability gate; a capability gate is not an effect decision; an effect decision is not runtime handoff; and runtime handoff is not host enforcement. Keeping those nouns separate prevents one implemented layer from borrowing the authority of a future layer.</w:t>
      </w:r>
    </w:p>
    <w:p>
      <w:pPr>
        <w:pStyle w:val="BodyTight"/>
      </w:pPr>
      <w:r>
        <w:rPr>
          <w:rFonts w:ascii="Liberation Serif" w:hAnsi="Liberation Serif" w:eastAsia="Liberation Serif"/>
        </w:rPr>
        <w:t>This also gives reviewers a concrete audit path. If a report claims authority, the witness graph should show a verified receipt, an allowed capability gate, an allowed effect decision, a performed runtime handoff, and explicit evidence for the effect. If any predecessor is missing or unsupported, public wording must fall back to metadata-only, report-only, or denied-by-default language.</w:t>
      </w:r>
    </w:p>
    <w:p>
      <w:pPr>
        <w:pStyle w:val="Heading2"/>
      </w:pPr>
      <w:r>
        <w:rPr>
          <w:rFonts w:ascii="Liberation Serif" w:hAnsi="Liberation Serif" w:eastAsia="Liberation Serif"/>
        </w:rPr>
        <w:t>11.5 Verified evidence is not permission</w:t>
      </w:r>
    </w:p>
    <w:p>
      <w:pPr>
        <w:pStyle w:val="BodyTight"/>
      </w:pPr>
      <w:r>
        <w:rPr>
          <w:rFonts w:ascii="Liberation Serif" w:hAnsi="Liberation Serif" w:eastAsia="Liberation Serif"/>
        </w:rPr>
        <w:t>The Ed25519 verify-only result changes the witness graph because a report can now contain a real local cryptographic verification result. That result should still be read narrowly: it says the supplied signature matched the supplied message and public key under the local provider boundary.</w:t>
      </w:r>
    </w:p>
    <w:p>
      <w:pPr>
        <w:pStyle w:val="BodyTight"/>
      </w:pPr>
      <w:r>
        <w:rPr>
          <w:rFonts w:ascii="Liberation Serif" w:hAnsi="Liberation Serif" w:eastAsia="Liberation Serif"/>
        </w:rPr>
        <w:t>It does not say the public key is trusted, current, non-revoked, authorized for a capability, or allowed to drive a host effect. Those are different witness edges. A future trust-store edge, revocation edge, capability-gate edge, effect-decision edge, and runtime-handoff edge would each need its own schema, implementation, tests, and public wording.</w:t>
      </w:r>
    </w:p>
    <w:p>
      <w:pPr>
        <w:pStyle w:val="BodyTight"/>
      </w:pPr>
      <w:r>
        <w:rPr>
          <w:rFonts w:ascii="Liberation Serif" w:hAnsi="Liberation Serif" w:eastAsia="Liberation Serif"/>
        </w:rPr>
        <w:t>Verified receipt promotion is therefore useful precisely because it gives the graph a named middle state. A promoted receipt is stronger than unverified metadata, but weaker than authority. Reviewers should treat authority_usable=0 and capability_gate_allowed=0 as part of the receipt meaning, not as incidental implementation details.</w:t>
      </w:r>
    </w:p>
    <w:p>
      <w:pPr>
        <w:pStyle w:val="Heading2"/>
      </w:pPr>
      <w:r>
        <w:rPr>
          <w:rFonts w:ascii="Liberation Serif" w:hAnsi="Liberation Serif" w:eastAsia="Liberation Serif"/>
        </w:rPr>
        <w:t>11.6 Metadata gates before effects</w:t>
      </w:r>
    </w:p>
    <w:p>
      <w:pPr>
        <w:pStyle w:val="BodyTight"/>
      </w:pPr>
      <w:r>
        <w:t>The verified capability gate adds another witness edge between a promoted receipt and an effect decision. Its allowed state is still metadata-only: gate_allowed=1 is not the same as an effect being allowed, performed, or handed to a runtime.</w:t>
      </w:r>
    </w:p>
    <w:p>
      <w:pPr>
        <w:pStyle w:val="BodyTight"/>
      </w:pPr>
      <w:r>
        <w:t>This gives reviewers a sharper audit rule. A record may show verified receipt evidence, an allowed metadata gate, an allowed metadata-only effect decision, eligible runtime-handoff metadata, report-ready metadata, envelope-ready metadata, and signature-request-ready metadata while still proving that no host read, host write, network access, tool execution, shell execution, capability enforcement, runtime handoff, signing, object sealing, or runtime authority occurred. That is not contradiction; it is the point of the ladder.</w:t>
      </w:r>
    </w:p>
    <w:p>
      <w:pPr>
        <w:pStyle w:val="Heading2"/>
      </w:pPr>
      <w:r>
        <w:t>11.7 Allowed, eligible, and ready are not performed</w:t>
      </w:r>
    </w:p>
    <w:p>
      <w:pPr>
        <w:pStyle w:val="BodyTight"/>
      </w:pPr>
      <w:r>
        <w:t>The new Seal ladder deliberately uses different verbs for different evidence states. gate_allowed=1 means a metadata gate accepted the request. effect_allowed=1 means a metadata-only effect classification accepted the request. handoff_eligible=1 means a future handoff candidate is describable. report_ready=1 means a report record can be emitted. envelope_ready=1 means a deterministic envelope record can be emitted. signature_request_ready=1 means a future signing path was requested as metadata.</w:t>
      </w:r>
    </w:p>
    <w:p>
      <w:pPr>
        <w:pStyle w:val="BodyTight"/>
      </w:pPr>
      <w:r>
        <w:t>None of those states means effect_performed=1, handoff_performed=1, signature_performed=1, verification_performed=1, private_key_handling=1, runtime_authority_granted=1, object sealing, or host/network behavior. Reviewers should read these flags as named non-effect checkpoints, not as disguised permission grants.</w:t>
      </w:r>
    </w:p>
    <w:p>
      <w:pPr>
        <w:pStyle w:val="Heading2"/>
      </w:pPr>
      <w:r>
        <w:t>11.8 Envelope and signature request do not sign</w:t>
      </w:r>
    </w:p>
    <w:p>
      <w:pPr>
        <w:pStyle w:val="BodyTight"/>
      </w:pPr>
      <w:r>
        <w:t>Envelope language is risky because ordinary readers may hear "sealed" as cryptographic or object-sealing behavior. In this edition it means only deterministic report-envelope metadata. Signature request language is equally narrow: Ed25519-development is a requested signature label, not a signing operation, private-key action, trust-store decision, or signature verification result.</w:t>
      </w:r>
    </w:p>
    <w:p>
      <w:pPr>
        <w:pStyle w:val="BodyTight"/>
      </w:pPr>
      <w:r>
        <w:t>A reviewer should reject any claim that jumps from envelope_ready=1 or signature_request_ready=1 to signing, object sealing, production cryptography, runtime handoff, host mutation, network behavior, or authority. Those transitions require separate contracts, implementations, and denial tests.</w:t>
      </w:r>
    </w:p>
    <w:p>
      <w:pPr>
        <w:pStyle w:val="Heading2"/>
      </w:pPr>
      <w:r>
        <w:t>11.9 Console receipt requests are not receipts</w:t>
      </w:r>
    </w:p>
    <w:p>
      <w:pPr>
        <w:pStyle w:val="BodyTight"/>
      </w:pPr>
      <w:r>
        <w:t>LC adds a second, component-specific example of the same rule. Its receipt-request, payload-schema, payload-artifact-draft, and signature-request-binding records describe what a future Seal-signed Console receipt would need to contain, but they do not materialize a payload, compute or record a payload hash, create a signature-request artifact, write a receipt, invoke a signer, or verify anything.</w:t>
      </w:r>
    </w:p>
    <w:p>
      <w:pPr>
        <w:pStyle w:val="BodyTight"/>
      </w:pPr>
      <w:r>
        <w:t>The Console witness edge is therefore a request edge, not an evidence edge. The current evidence is the presence of metadata-only contracts and the persistence of denial fields such as payload_artifact_present=0, signature_request_binding_allowed=0, seal_signature_request_ready=0, receipt_write_allowed=0, receipt_signed=0, file_write_allowed=0, and runtime_authority_granted=0.</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2"/>
      </w:pPr>
      <w:r>
        <w:t>12.5 AI-era authority and prompt-chain non-goals</w:t>
      </w:r>
    </w:p>
    <w:p>
      <w:pPr>
        <w:pStyle w:val="BodyTight"/>
      </w:pPr>
      <w:r>
        <w:t>AI-facing vocabulary can sound operational long before the system has authority to act. Latticra should therefore treat prompts, tokenizers, model registries, context windows, tool preflights, and task runners as authority-bearing surfaces even when every current implementation remains metadata-only.</w:t>
      </w:r>
    </w:p>
    <w:p>
      <w:pPr>
        <w:pStyle w:val="ListBullet"/>
      </w:pPr>
      <w:r>
        <w:t>A prompt contract is not prompt evaluation. It may describe source policy, inherited safety requirements, and promotion gates, but it must not imply prompt text receipt, prompt reading, prompt materialization, token creation, runtime invocation, inference, dialogue generation, or tool execution.</w:t>
      </w:r>
    </w:p>
    <w:p>
      <w:pPr>
        <w:pStyle w:val="ListBullet"/>
      </w:pPr>
      <w:r>
        <w:t>A tokenizer or model contract is not a loaded model. It may describe expected evidence, review fields, and future compatibility, but it must not open tokenizer files, read vocabularies, hash artifacts, attach tokenizers, create runtime sessions, or select model weights unless that behavior is separately implemented and guarded.</w:t>
      </w:r>
    </w:p>
    <w:p>
      <w:pPr>
        <w:pStyle w:val="ListBullet"/>
      </w:pPr>
      <w:r>
        <w:t>A task record is not task execution. Nucleus may classify, deny, preview, and report, but current records must not mutate state, call a shell, use the network, perform server interaction, recover a host, touch hardware, or enter runtime behavior.</w:t>
      </w:r>
    </w:p>
    <w:p>
      <w:pPr>
        <w:pStyle w:val="Heading2"/>
      </w:pPr>
      <w:r>
        <w:t>12.6 Host-platform and installer non-goals</w:t>
      </w:r>
    </w:p>
    <w:p>
      <w:pPr>
        <w:pStyle w:val="BodyTight"/>
      </w:pPr>
      <w:r>
        <w:t>Host-platform evidence is especially easy to overread. A dry-run writer, package validation lane, or readiness contract is not the same thing as a supported installer. The handbook should keep those meanings separate.</w:t>
      </w:r>
    </w:p>
    <w:p>
      <w:pPr>
        <w:pStyle w:val="ListBullet"/>
      </w:pPr>
      <w:r>
        <w:t>A macOS user-local contract may name $HOME/Applications, Application Support, wrappers, receipts, managed markers, and verification transcript lines, but it must not imply notarization, signing, launchd authority, Keychain access, TCC approval, Endpoint Security, System Extensions, Network Extensions, privileged helpers, or Apple platform approval.</w:t>
      </w:r>
    </w:p>
    <w:p>
      <w:pPr>
        <w:pStyle w:val="ListBullet"/>
      </w:pPr>
      <w:r>
        <w:t>A Fedora RPM lifecycle lane may mutate a temporary installroot or disposable VM under explicit gates, but it must not imply live developer-host mutation, sudo readiness, Fedora distribution acceptance, immutable Fedora support, service activation, kernel modules, SELinux policy, boot changes, or daily-driver eligibility.</w:t>
      </w:r>
    </w:p>
    <w:p>
      <w:pPr>
        <w:pStyle w:val="ListBullet"/>
      </w:pPr>
      <w:r>
        <w:t>Installer language must preserve the evidence level: dry-run, contract, installroot, disposable VM, manual release-candidate checklist, and production installer readiness are different claims and should never collapse into one public sentence.</w:t>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2"/>
      </w:pPr>
      <w:r>
        <w:t>13.4 Latticra Console registry contract</w:t>
      </w:r>
    </w:p>
    <w:p>
      <w:pPr>
        <w:pStyle w:val="BodyTight"/>
      </w:pPr>
      <w:r>
        <w:t>LC turns the command-contract idea into an explicit registry surface. A command is not just a string in a help menu; it is a metadata record that can be reviewed by Panel, Runtime Boundary, Seal, docs, and future tooling before any host-facing behavior exists.</w:t>
      </w:r>
    </w:p>
    <w:p>
      <w:pPr>
        <w:pStyle w:val="ListBullet"/>
      </w:pPr>
      <w:r>
        <w:t>Allowed Stage-0 commands are help, status, plan, save, dry-run, reset, uninstall, clear, LC inspection commands, and navigation placeholders, all under a metadata/report boundary.</w:t>
      </w:r>
    </w:p>
    <w:p>
      <w:pPr>
        <w:pStyle w:val="ListBullet"/>
      </w:pPr>
      <w:r>
        <w:t>The registry-backed help and manpage renderers expose command names, categories, effects, and capability labels from the same seed metadata used by installed wrappers.</w:t>
      </w:r>
    </w:p>
    <w:p>
      <w:pPr>
        <w:pStyle w:val="ListBullet"/>
      </w:pPr>
      <w:r>
        <w:t>Future-facing commands such as lc host and lc os are intentionally future-gated: they can describe planned authority boundaries, but they cannot launch host processes or claim OS-base behavior.</w:t>
      </w:r>
    </w:p>
    <w:p>
      <w:pPr>
        <w:pStyle w:val="ListBullet"/>
      </w:pPr>
      <w:r>
        <w:t>Contract commands such as lc host-adapter, lc receipt-request, lc receipt-payload, lc receipt-artifact, lc signature-request, lc os-contract, and lc vm-evidence expose promotion gates and denial fields as command output.</w:t>
      </w:r>
    </w:p>
    <w:p>
      <w:pPr>
        <w:pStyle w:val="ListBullet"/>
      </w:pPr>
      <w:r>
        <w:t>Their source and installed report surfaces must remain paired: latticra_console_report &lt;surface&gt; and latticra-lc &lt;surface&gt; should tell the same no-effect story for host, receipt, signature, OS, and VM planning metadata.</w:t>
      </w:r>
    </w:p>
    <w:p>
      <w:pPr>
        <w:pStyle w:val="ListBullet"/>
      </w:pPr>
      <w:r>
        <w:t>The review rule is simple: adding a command means adding its effect label, capability label, no-effect flag, future-gate status, report surface, and denial behavior before widening authority.</w:t>
      </w:r>
    </w:p>
    <w:p>
      <w:pPr>
        <w:pStyle w:val="Heading2"/>
      </w:pPr>
      <w:r>
        <w:t>13.5 Nucleus and Nadia command surfaces</w:t>
      </w:r>
    </w:p>
    <w:p>
      <w:pPr>
        <w:pStyle w:val="BodyTight"/>
      </w:pPr>
      <w:r>
        <w:t>The Nucleus and Nadia command surfaces should be read as report producers and contract generators. Their command names are intentionally useful to operators, but the commands remain bounded by the metadata they emit and by the authority they explicitly do not have.</w:t>
      </w:r>
    </w:p>
    <w:p>
      <w:pPr>
        <w:pStyle w:val="ListBullet"/>
      </w:pPr>
      <w:r>
        <w:t>Nucleus commands must expose request kind, effect label, policy result, denial reason, execution status, effect status, runtime status, no-effect policy, and representation gate. A successful report is not proof that a task ran; it is proof that the boundary was classified.</w:t>
      </w:r>
    </w:p>
    <w:p>
      <w:pPr>
        <w:pStyle w:val="ListBullet"/>
      </w:pPr>
      <w:r>
        <w:t>Nadia commands under the embedded Console and installed latticra-nadia wrapper must keep the current stage visible. Status, context-pack, runtime-profile, prompt-plan, tool-preflight, prompt, model, tokenizer, token-sequence, and context-window commands are metadata or contract surfaces until a later contract proves otherwise.</w:t>
      </w:r>
    </w:p>
    <w:p>
      <w:pPr>
        <w:pStyle w:val="ListBullet"/>
      </w:pPr>
      <w:r>
        <w:t>Command review should reject any help text, status output, README prose, or Panel label that implies autonomous coding, model inference, prompt evaluation, tokenizer attachment, runtime sessions, network access, source mutation, or tool execution ahead of evidence.</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2"/>
      </w:pPr>
      <w:r>
        <w:t>14.5 Prompt and tokenizer metadata ladder</w:t>
      </w:r>
    </w:p>
    <w:p>
      <w:pPr>
        <w:pStyle w:val="BodyTight"/>
      </w:pPr>
      <w:r>
        <w:t>Nadia gives the handbook a concrete example of schema-first AI design. Each stage records the next boundary without crossing it, so the ladder is useful even before inference exists.</w:t>
      </w:r>
    </w:p>
    <w:p>
      <w:pPr>
        <w:pStyle w:val="ListBullet"/>
      </w:pPr>
      <w:r>
        <w:t>Foundation and local-context records bind component identity, local install paths, context-pack generation, runtime profile metadata, workbench plans, mode labels, and productivity-ledger vocabulary to local, operator-invoked evidence.</w:t>
      </w:r>
    </w:p>
    <w:p>
      <w:pPr>
        <w:pStyle w:val="ListBullet"/>
      </w:pPr>
      <w:r>
        <w:t>Prompt and model records bind prompt-evaluation contracts, local model registry contracts, inference-readiness contracts, runtime-invocation contracts, model-load contracts, prompt receipts, prompt materialization, and prompt-evaluation handoff to denied runtime authority.</w:t>
      </w:r>
    </w:p>
    <w:p>
      <w:pPr>
        <w:pStyle w:val="ListBullet"/>
      </w:pPr>
      <w:r>
        <w:t>Tokenizer records bind tokenizer specification, manifest, artifact inventory, measurement, verification, binding, and runtime-attachment contracts without opening tokenizer files, loading vocabularies, attaching tokenizers, or creating runtime sessions.</w:t>
      </w:r>
    </w:p>
    <w:p>
      <w:pPr>
        <w:pStyle w:val="ListBullet"/>
      </w:pPr>
      <w:r>
        <w:t>Prompt-tokenization and prompt-token-sequence records reserve the future shape of token count, token order, offsets, masks, and position IDs; Stage-27 context-window records then reserve future context-window layout, token budget, truncation, and prompt-evaluation-input requirements while explicitly recording that those values are not produced today.</w:t>
      </w:r>
    </w:p>
    <w:p>
      <w:pPr>
        <w:pStyle w:val="Heading2"/>
      </w:pPr>
      <w:r>
        <w:rPr>
          <w:rFonts w:ascii="Liberation Serif" w:hAnsi="Liberation Serif" w:eastAsia="Liberation Serif"/>
        </w:rPr>
        <w:t>14.6 Seal trust metadata schemas</w:t>
      </w:r>
    </w:p>
    <w:p>
      <w:pPr>
        <w:pStyle w:val="BodyTight"/>
      </w:pPr>
      <w:r>
        <w:rPr>
          <w:rFonts w:ascii="Liberation Serif" w:hAnsi="Liberation Serif" w:eastAsia="Liberation Serif"/>
        </w:rPr>
        <w:t>The trust ladder should use small, stable key/value schemas before it grows richer object formats. The current schema vocabulary includes signed_request_profile, freshness_profile, receipt_profile, verify_profile, ed25519_verify_profile, verification_policy_profile, backend_profile, gate_profile, decision_profile, signature_profile, manifest_profile, artifact_digest_algorithm, message_digest_algorithm, signer_identity_label, public_key_identity_label, trust_source, requested_capability, requested_effect, requested_scope, and status.</w:t>
      </w:r>
    </w:p>
    <w:p>
      <w:pPr>
        <w:pStyle w:val="BodyTight"/>
      </w:pPr>
      <w:r>
        <w:rPr>
          <w:rFonts w:ascii="Liberation Serif" w:hAnsi="Liberation Serif" w:eastAsia="Liberation Serif"/>
        </w:rPr>
        <w:t>State fields should remain explicit even when the value is a denial. The important fields include signed_request_supported, signature_present, signature_valid, request_freshness_supported, replay_protection_supported, verification_state, receipt_state, crypto_verify_state, verified, invalid, authority_usable, capability_gate_allowed, gate_state, gate_allowed, decision_state, effect_allowed, effect_performed, and runtime_authority_granted.</w:t>
      </w:r>
    </w:p>
    <w:p>
      <w:pPr>
        <w:pStyle w:val="BodyTight"/>
      </w:pPr>
      <w:r>
        <w:rPr>
          <w:rFonts w:ascii="Liberation Serif" w:hAnsi="Liberation Serif" w:eastAsia="Liberation Serif"/>
        </w:rPr>
        <w:t>Effect fields must not disappear when false. Report consumers should see host_read_performed=0, host_write_performed=0, network_performed=0, cryptographic_verification_performed=0, verification_performed=0, signature_performed=0, signer_invoked=0, trust_store_loaded=0, revocation_lookup_performed=0, key_material_loaded=0, private_key_handling=0, capability_enforcement_performed=0, and runtime_handoff_performed=0 where the corresponding layer is in scope.</w:t>
      </w:r>
    </w:p>
    <w:p>
      <w:pPr>
        <w:pStyle w:val="BodyTight"/>
      </w:pPr>
      <w:r>
        <w:rPr>
          <w:rFonts w:ascii="Liberation Serif" w:hAnsi="Liberation Serif" w:eastAsia="Liberation Serif"/>
        </w:rPr>
        <w:t>The schema rule is simple: a future field may reserve vocabulary, but a current field must not imply capability. If the project adds trust stores, revocation checks, signed envelopes, capability authorization, effect execution, or production cryptography claims later, each transition should change only after a contract, implementation, invariant tests, status record, public wording update, and handbook update are in place.</w:t>
      </w:r>
    </w:p>
    <w:p>
      <w:pPr>
        <w:pStyle w:val="Heading2"/>
      </w:pPr>
      <w:r>
        <w:rPr>
          <w:rFonts w:ascii="Liberation Serif" w:hAnsi="Liberation Serif" w:eastAsia="Liberation Serif"/>
        </w:rPr>
        <w:t>14.7 Verify-only result and promoted receipt schemas</w:t>
      </w:r>
    </w:p>
    <w:p>
      <w:pPr>
        <w:pStyle w:val="BodyTight"/>
      </w:pPr>
      <w:r>
        <w:rPr>
          <w:rFonts w:ascii="Liberation Serif" w:hAnsi="Liberation Serif" w:eastAsia="Liberation Serif"/>
        </w:rPr>
        <w:t>The Ed25519 verify-only result schema is the first place where cryptographic verification fields can legitimately become one. Its key fields are ed25519_verify_profile, backend_profile, verification_policy_profile, message_label, message_size_bytes, message_digest_algorithm, message_digest_hex, public_key_identity_label, public_key_size_bytes, signature_algorithm, signature_size_bytes, trust_source, crypto_verify_state, cryptographic_verification_supported, cryptographic_verification_performed, verified, invalid, authority_usable, capability_gate_allowed, runtime_authority_granted, and status.</w:t>
      </w:r>
    </w:p>
    <w:p>
      <w:pPr>
        <w:pStyle w:val="BodyTight"/>
      </w:pPr>
      <w:r>
        <w:rPr>
          <w:rFonts w:ascii="Liberation Serif" w:hAnsi="Liberation Serif" w:eastAsia="Liberation Serif"/>
        </w:rPr>
        <w:t>The promoted receipt schema copies the evidence-bearing fields into receipt form and changes the receipt state, not the authority state. Its important fields include receipt_profile, verify_profile, backend_profile, verification_policy_profile, message_label, message_digest_algorithm, message_digest_hex, public_key_identity_label, signature_algorithm, trust_source, verification_state=verified, receipt_state=verified, verified=1, authority_usable=0, capability_gate_allowed=0, runtime_authority_granted=0, mode=verified-receipt-authority-neutral, and status=verified-receipt-metadata.</w:t>
      </w:r>
    </w:p>
    <w:p>
      <w:pPr>
        <w:pStyle w:val="BodyTight"/>
      </w:pPr>
      <w:r>
        <w:rPr>
          <w:rFonts w:ascii="Liberation Serif" w:hAnsi="Liberation Serif" w:eastAsia="Liberation Serif"/>
        </w:rPr>
        <w:t>Schema consumers should distinguish mathematical verification from trust. The current trust_source=local-test-vector label is evidence about the fixture boundary, not a trust root, revocation service, certificate chain, or production identity system.</w:t>
      </w:r>
    </w:p>
    <w:p>
      <w:pPr>
        <w:pStyle w:val="Heading2"/>
      </w:pPr>
      <w:r>
        <w:rPr>
          <w:rFonts w:ascii="Liberation Serif" w:hAnsi="Liberation Serif" w:eastAsia="Liberation Serif"/>
        </w:rPr>
        <w:t>14.8 Verified capability gate schema</w:t>
      </w:r>
    </w:p>
    <w:p>
      <w:pPr>
        <w:pStyle w:val="BodyTight"/>
      </w:pPr>
      <w:r>
        <w:rPr>
          <w:rFonts w:ascii="Liberation Serif" w:hAnsi="Liberation Serif" w:eastAsia="Liberation Serif"/>
        </w:rPr>
        <w:t>The verified capability gate schema binds a verified receipt to a requested metadata capability without crossing into enforcement. Core fields include gate_profile, receipt_profile, verify_profile, message_digest_algorithm, message_digest_hex, public_key_identity_label, receipt_state, verification_state, requested_capability, requested_effect, requested_scope, verified, authority_usable, receipt_capability_gate_allowed, gate_allowed, gate_state, runtime_authority_granted, effect_performed, host_read_performed, host_write_performed, network_performed, and status.</w:t>
      </w:r>
    </w:p>
    <w:p>
      <w:pPr>
        <w:pStyle w:val="BodyTight"/>
      </w:pPr>
      <w:r>
        <w:rPr>
          <w:rFonts w:ascii="Liberation Serif" w:hAnsi="Liberation Serif" w:eastAsia="Liberation Serif"/>
        </w:rPr>
        <w:t>The important distinction is that gate_allowed=1 and gate_state=allowed-metadata-only may coexist with authority_usable=0, receipt_capability_gate_allowed=0, runtime_authority_granted=0, and effect_performed=0. Schema consumers must not collapse metadata permission into runtime permission.</w:t>
      </w:r>
    </w:p>
    <w:p>
      <w:pPr>
        <w:pStyle w:val="Heading2"/>
      </w:pPr>
      <w:r>
        <w:t>14.9 Verified effect, handoff evaluation, and handoff report schemas</w:t>
      </w:r>
    </w:p>
    <w:p>
      <w:pPr>
        <w:pStyle w:val="BodyTight"/>
      </w:pPr>
      <w:r>
        <w:t>The verified effect decision schema carries decision_profile, gate_profile, receipt_profile, requested_capability, requested_effect, requested_scope, gate_allowed, gate_state, decision_state, effect_allowed, effect_performed, runtime_authority_granted, host_read_performed, host_write_performed, network_performed, error, and status. The central invariant is that effect_allowed=1 may coexist with effect_performed=0 and runtime_authority_granted=0.</w:t>
      </w:r>
    </w:p>
    <w:p>
      <w:pPr>
        <w:pStyle w:val="BodyTight"/>
      </w:pPr>
      <w:r>
        <w:t>The runtime handoff evaluation schema adds handoff_profile, requested_handoff, handoff_state, and handoff_eligible while preserving handoff_performed=0. The runtime handoff report schema adds report_profile, requested_report, report_state, and report_ready. Schema consumers must not collapse handoff_eligible=1 or report_ready=1 into runtime handoff execution.</w:t>
      </w:r>
    </w:p>
    <w:p>
      <w:pPr>
        <w:pStyle w:val="Heading2"/>
      </w:pPr>
      <w:r>
        <w:t>14.10 Report envelope and signature request schemas</w:t>
      </w:r>
    </w:p>
    <w:p>
      <w:pPr>
        <w:pStyle w:val="BodyTight"/>
      </w:pPr>
      <w:r>
        <w:t>The report envelope schema adds envelope_profile, requested_envelope, envelope_state, envelope_ready, and signature_performed to the runtime handoff report lineage. Its central invariant is that envelope_ready=1 may coexist with signature_performed=0, handoff_performed=0, effect_performed=0, runtime_authority_granted=0, and no host or network behavior.</w:t>
      </w:r>
    </w:p>
    <w:p>
      <w:pPr>
        <w:pStyle w:val="BodyTight"/>
      </w:pPr>
      <w:r>
        <w:t>The signature request schema adds signature_request_profile, requested_signature, signature_request_state, signature_request_ready, verification_performed, and private_key_handling. The current allowed request label is Ed25519-development, but that label is metadata-only. Schema consumers must not interpret signature_request_ready=1 as Ed25519 signing, key generation, private-key handling, trust establishment, or signature verification.</w:t>
      </w:r>
    </w:p>
    <w:p>
      <w:pPr>
        <w:pStyle w:val="Heading2"/>
      </w:pPr>
      <w:r>
        <w:t>14.11 Latticra Console contract schemas</w:t>
      </w:r>
    </w:p>
    <w:p>
      <w:pPr>
        <w:pStyle w:val="BodyTight"/>
      </w:pPr>
      <w:r>
        <w:t>LC contract schemas should stay small and auditable. The host-adapter contract centers fields such as contract_profile=lc-host-adapter-v0, host_adapter_enabled, host_adapter_present, host_embedding_contract_receipt_required, host_inventory_contract_receipt_required, operator_consent_required, runtime_boundary_required, seal_capability_labels_required, and promotion_gate.</w:t>
      </w:r>
    </w:p>
    <w:p>
      <w:pPr>
        <w:pStyle w:val="BodyTight"/>
      </w:pPr>
      <w:r>
        <w:t>The receipt path centers request_profile=lc-receipt-request-v0, schema_profile=lc-receipt-payload-schema-v0, draft_profile=lc-receipt-payload-artifact-draft-v0, binding_profile=lc-signature-request-binding-v0, requested_receipt_profile, requested_capability, requested_surfaces, payload_fields, required_authority_fields, required_prior_contracts, and signing_authorization_profile. Schema consumers must preserve payload_artifact_present=0, payload_materialized=0, payload_hash_computed=0, seal_signature_request_present=0, receipt_write_allowed=0, and receipt_signed=0 until later artifacts exist.</w:t>
      </w:r>
    </w:p>
    <w:p>
      <w:pPr>
        <w:pStyle w:val="BodyTight"/>
      </w:pPr>
      <w:r>
        <w:t>The OS and VM planning contracts center contract_profile=lc-os-base-v0, contract_profile=lc-vm-evidence-v0, vm_evidence_required, vm_evidence_capture_enabled, vm_evidence_artifact_present, os_base_enabled, production_os_claim, read_only_host_inventory_receipt_required, receipt_required_before_os_base, receipt_required_before_vm_evidence, and promotion_gate. These fields reserve evidence obligations; they do not grant boot, hypervisor, disk-image, guest, host, network, or runtime authority.</w:t>
      </w: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r>
        <w:tc>
          <w:tcPr>
            <w:tcW w:type="dxa" w:w="3331"/>
          </w:tcPr>
          <w:p>
            <w:r>
              <w:t>make latticra-console</w:t>
            </w:r>
          </w:p>
        </w:tc>
        <w:tc>
          <w:tcPr>
            <w:tcW w:type="dxa" w:w="3331"/>
          </w:tcPr>
          <w:p>
            <w:r>
              <w:t>Validate LC registry, Panel installability, host/receipt/signature/OS/VM contract reports, and boundary metadata.</w:t>
            </w:r>
          </w:p>
        </w:tc>
        <w:tc>
          <w:tcPr>
            <w:tcW w:type="dxa" w:w="3331"/>
          </w:tcPr>
          <w:p>
            <w:r>
              <w:t>Console report transcript with required contract-present fields and no-effect denial fields.</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2"/>
      </w:pPr>
      <w:r>
        <w:t>15.4 Nucleus and Nadia validation lanes</w:t>
      </w:r>
    </w:p>
    <w:p>
      <w:pPr>
        <w:pStyle w:val="BodyTight"/>
      </w:pPr>
      <w:r>
        <w:t>The AI-era validation lane should prove non-effects as aggressively as it proves positive metadata. The important evidence is often the zero: no runtime entered, no prompt read, no model loaded, no tokenizer opened, no task executed, and no tool authority granted.</w:t>
      </w:r>
    </w:p>
    <w:p>
      <w:pPr>
        <w:pStyle w:val="ListBullet"/>
      </w:pPr>
      <w:r>
        <w:t>Nucleus focused tests should keep report-only execution labels, no-effect alignment labels, future-gated behavior, denied mutations, and disabled server/recovery/hardware/runtime behavior stable across refactors.</w:t>
      </w:r>
    </w:p>
    <w:p>
      <w:pPr>
        <w:pStyle w:val="ListBullet"/>
      </w:pPr>
      <w:r>
        <w:t>Nadia focused tests should cover Stage-0 through Stage-27 contract outputs, inherited protective-safety fields, installed command names, Panel/Console metadata, and denial fields for model, tokenizer, prompt, runtime, network, source-mutation, and tool authority.</w:t>
      </w:r>
    </w:p>
    <w:p>
      <w:pPr>
        <w:pStyle w:val="ListBullet"/>
      </w:pPr>
      <w:r>
        <w:t>A failing validation lane should weaken public wording before it widens capability. In this substrate, conservative status is a feature, not a lack of ambition.</w:t>
      </w:r>
    </w:p>
    <w:p>
      <w:pPr>
        <w:pStyle w:val="Heading2"/>
      </w:pPr>
      <w:r>
        <w:t>15.5 Platform validation lanes</w:t>
      </w:r>
    </w:p>
    <w:p>
      <w:pPr>
        <w:pStyle w:val="BodyTight"/>
      </w:pPr>
      <w:r>
        <w:t>Platform validation should be treated as evidence stratification. The question is not merely whether a command succeeded; it is where the effect occurred, what was allowed to mutate, and which larger readiness claim remained denied.</w:t>
      </w:r>
    </w:p>
    <w:p>
      <w:pPr>
        <w:pStyle w:val="ListBullet"/>
      </w:pPr>
      <w:r>
        <w:t>macOS tests should prove path guards, user-local target selection, managed-marker requirements, closed commit gates, verification-transcript contract fields, reset/uninstall dry-run ordering, and zero host mutation while no writer exists.</w:t>
      </w:r>
    </w:p>
    <w:p>
      <w:pPr>
        <w:pStyle w:val="ListBullet"/>
      </w:pPr>
      <w:r>
        <w:t>Fedora tests should distinguish static spec checks, installroot lifecycle evidence, disposable-VM local RPM validation, manual host release-candidate classification, and production-readiness blockers.</w:t>
      </w:r>
    </w:p>
    <w:p>
      <w:pPr>
        <w:pStyle w:val="ListBullet"/>
      </w:pPr>
      <w:r>
        <w:t>A platform validation report should always carry negative fields: root_authority=0, network_performed=0, production_installer_ready=0, platform_approval_claimed=0, and daily_driver_install_ready=0 unless a later evidence package proves otherwise.</w:t>
      </w:r>
    </w:p>
    <w:p>
      <w:pPr>
        <w:pStyle w:val="Heading2"/>
      </w:pPr>
      <w:r>
        <w:rPr>
          <w:rFonts w:ascii="Liberation Serif" w:hAnsi="Liberation Serif" w:eastAsia="Liberation Serif"/>
        </w:rPr>
        <w:t>15.6 Seal trust-boundary validation lanes</w:t>
      </w:r>
    </w:p>
    <w:p>
      <w:pPr>
        <w:pStyle w:val="BodyTight"/>
      </w:pPr>
      <w:r>
        <w:rPr>
          <w:rFonts w:ascii="Liberation Serif" w:hAnsi="Liberation Serif" w:eastAsia="Liberation Serif"/>
        </w:rPr>
        <w:t>Seal trust-boundary tests should prove the negative path as carefully as the happy path. The signed-request lane should still assert that signed-request support, generation, signed-request verification, signature-present, signature-valid, trust-store, revocation, network, host-effect, and runtime-authority fields remain zero until those specific layers exist.</w:t>
      </w:r>
    </w:p>
    <w:p>
      <w:pPr>
        <w:pStyle w:val="BodyTight"/>
      </w:pPr>
      <w:r>
        <w:rPr>
          <w:rFonts w:ascii="Liberation Serif" w:hAnsi="Liberation Serif" w:eastAsia="Liberation Serif"/>
        </w:rPr>
        <w:t>The request-freshness lane should cover timestamp and nonce vocabulary without claiming trusted clocks, nonce storage, replay caches, freshness validation, replay protection, context hashing, parameter hashing, or enforcement. The report surface is valuable precisely because it makes the absence of those mechanisms reproducible.</w:t>
      </w:r>
    </w:p>
    <w:p>
      <w:pPr>
        <w:pStyle w:val="BodyTight"/>
      </w:pPr>
      <w:r>
        <w:rPr>
          <w:rFonts w:ascii="Liberation Serif" w:hAnsi="Liberation Serif" w:eastAsia="Liberation Serif"/>
        </w:rPr>
        <w:t>The baseline verification-receipt and crypto-backend lanes should keep unverified and unsupported predecessor states stable: verification_state=unsupported, receipt_state=unverified-metadata, crypto_verify_state=unsupported, cryptographic_verification_performed=0, verified=0, authority_usable=0, and runtime_authority_granted=0. The Ed25519 and promotion lanes then prove the later, narrower evidence upgrade separately.</w:t>
      </w:r>
    </w:p>
    <w:p>
      <w:pPr>
        <w:pStyle w:val="BodyTight"/>
      </w:pPr>
      <w:r>
        <w:rPr>
          <w:rFonts w:ascii="Liberation Serif" w:hAnsi="Liberation Serif" w:eastAsia="Liberation Serif"/>
        </w:rPr>
        <w:t>The capability-gate and effect-decision lanes should assert denied defaults: gate_state=denied-unverified, gate_allowed=0, decision_state=denied-gate, effect_allowed=0, effect_performed=0, host_read_performed=0, host_write_performed=0, network_performed=0, and runtime_authority_granted=0. When those tests fail, the default response should be to weaken or fix the claim, not to widen authority.</w:t>
      </w:r>
    </w:p>
    <w:p>
      <w:pPr>
        <w:pStyle w:val="Heading2"/>
      </w:pPr>
      <w:r>
        <w:rPr>
          <w:rFonts w:ascii="Liberation Serif" w:hAnsi="Liberation Serif" w:eastAsia="Liberation Serif"/>
        </w:rPr>
        <w:t>15.7 Ed25519 and promotion validation lanes</w:t>
      </w:r>
    </w:p>
    <w:p>
      <w:pPr>
        <w:pStyle w:val="BodyTight"/>
      </w:pPr>
      <w:r>
        <w:rPr>
          <w:rFonts w:ascii="Liberation Serif" w:hAnsi="Liberation Serif" w:eastAsia="Liberation Serif"/>
        </w:rPr>
        <w:t>The Ed25519 verify-only lane should prove both the real positive and the safe negative cases. The positive case verifies the RFC8032-style test vector and renders crypto_verify_state=verified, cryptographic_verification_performed=1, verified=1, authority_usable=0, capability_gate_allowed=0, and runtime_authority_granted=0.</w:t>
      </w:r>
    </w:p>
    <w:p>
      <w:pPr>
        <w:pStyle w:val="BodyTight"/>
      </w:pPr>
      <w:r>
        <w:rPr>
          <w:rFonts w:ascii="Liberation Serif" w:hAnsi="Liberation Serif" w:eastAsia="Liberation Serif"/>
        </w:rPr>
        <w:t>The negative cases are just as important: tampered signature, unsupported algorithm, missing message, oversized message, missing public key, wrong public-key size, missing signature, wrong signature size, provider failure, null output, null report buffers, and tiny report buffers must fail closed without key generation, signing, trust-store access, revocation lookup, host reads, host writes, network access, capability enforcement, or runtime authority.</w:t>
      </w:r>
    </w:p>
    <w:p>
      <w:pPr>
        <w:pStyle w:val="BodyTight"/>
      </w:pPr>
      <w:r>
        <w:rPr>
          <w:rFonts w:ascii="Liberation Serif" w:hAnsi="Liberation Serif" w:eastAsia="Liberation Serif"/>
        </w:rPr>
        <w:t>The verified receipt promotion lane should accept only a successful Ed25519 verify-only result. It should reject unsupported verification, verification-not-performed, verified=0, invalid=1, wrong crypto state, missing digest, and missing public-key identity. Its success case must keep authority_usable=0, capability_gate_allowed=0, and runtime_authority_granted=0 visible in both the record and report.</w:t>
      </w:r>
    </w:p>
    <w:p>
      <w:pPr>
        <w:pStyle w:val="Heading2"/>
      </w:pPr>
      <w:r>
        <w:rPr>
          <w:rFonts w:ascii="Liberation Serif" w:hAnsi="Liberation Serif" w:eastAsia="Liberation Serif"/>
        </w:rPr>
        <w:t>15.8 Verified capability gate validation lane</w:t>
      </w:r>
    </w:p>
    <w:p>
      <w:pPr>
        <w:pStyle w:val="BodyTight"/>
      </w:pPr>
      <w:r>
        <w:rPr>
          <w:rFonts w:ascii="Liberation Serif" w:hAnsi="Liberation Serif" w:eastAsia="Liberation Serif"/>
        </w:rPr>
        <w:t>The verified capability gate lane should prove that the narrow allowlist works and that the boundaries remain visible. Valid report/evaluate requests may set gate_allowed=1 and gate_state=allowed-metadata-only while preserving runtime_authority_granted=0, effect_performed=0, host_read_performed=0, host_write_performed=0, and network_performed=0.</w:t>
      </w:r>
    </w:p>
    <w:p>
      <w:pPr>
        <w:pStyle w:val="BodyTight"/>
      </w:pPr>
      <w:r>
        <w:rPr>
          <w:rFonts w:ascii="Liberation Serif" w:hAnsi="Liberation Serif" w:eastAsia="Liberation Serif"/>
        </w:rPr>
        <w:t>The failure lane should reject null receipts, invalid receipts, unverified receipts, invalid receipt flags, missing digest metadata, missing public-key identity, missing requested capability, unknown capability, missing requested effect, unknown effect, null output, null reports, and tiny report buffers. None of those failures may execute effects, persist policy, contact networks, read or write host files, execute tools, execute shells, enforce capabilities, or grant runtime authority.</w:t>
      </w:r>
    </w:p>
    <w:p>
      <w:pPr>
        <w:pStyle w:val="Heading2"/>
      </w:pPr>
      <w:r>
        <w:t>15.9 Effect decision and handoff validation lanes</w:t>
      </w:r>
    </w:p>
    <w:p>
      <w:pPr>
        <w:pStyle w:val="BodyTight"/>
      </w:pPr>
      <w:r>
        <w:t>The verified effect decision lane should accept only allowed metadata gates and report/evaluate effects. It should prove effect_allowed=1 only when the gate is valid, gate_state=allowed-metadata-only, runtime authority is zero, and no host, network, handoff, or effect has already occurred.</w:t>
      </w:r>
    </w:p>
    <w:p>
      <w:pPr>
        <w:pStyle w:val="BodyTight"/>
      </w:pPr>
      <w:r>
        <w:t>The runtime handoff evaluation and report lanes should accept only metadata-only allowed decisions, then prove handoff_eligible=1 and report_ready=1 without performing handoff or granting authority. Negative cases should cover null inputs, invalid predecessors, unsupported labels, mismatched report requests, prior performed effects, host read/write flags, network flags, tiny report buffers, and runtime_authority_granted=1.</w:t>
      </w:r>
    </w:p>
    <w:p>
      <w:pPr>
        <w:pStyle w:val="Heading2"/>
      </w:pPr>
      <w:r>
        <w:t>15.10 Envelope and signature request validation lanes</w:t>
      </w:r>
    </w:p>
    <w:p>
      <w:pPr>
        <w:pStyle w:val="BodyTight"/>
      </w:pPr>
      <w:r>
        <w:t>The report envelope lane should accept only ready runtime handoff reports and report/evaluate envelope labels, then prove envelope_ready=1 without signing, object sealing, performing handoff, performing effects, reading host state, writing host state, contacting networks, or granting runtime authority.</w:t>
      </w:r>
    </w:p>
    <w:p>
      <w:pPr>
        <w:pStyle w:val="BodyTight"/>
      </w:pPr>
      <w:r>
        <w:t>The signature request lane should accept only ready sealed-report or sealed-evaluate envelope metadata and the Ed25519-development request label, then prove signature_request_ready=1 while signature_performed=0, verification_performed=0, private_key_handling=0, handoff_performed=0, effect_performed=0, runtime_authority_granted=0, and host/network flags remain zero. Negative cases should cover invalid envelopes, missing or unknown signature labels, prior signature/effect/handoff flags, tiny report buffers, and runtime_authority_granted=1.</w:t>
      </w:r>
    </w:p>
    <w:p>
      <w:pPr>
        <w:pStyle w:val="Heading2"/>
      </w:pPr>
      <w:r>
        <w:t>15.11 Latticra Console contract validation lane</w:t>
      </w:r>
    </w:p>
    <w:p>
      <w:pPr>
        <w:pStyle w:val="BodyTight"/>
      </w:pPr>
      <w:r>
        <w:t>The Console validation lane should prove both halves of the contract bundle: the positive presence of reportable metadata and the negative absence of authority. The current evidence target is make latticra-console plus focused checks for host-adapter, receipt-request, payload schema, payload artifact draft, signature-request binding, OS-base, VM-evidence, boundary, help, manpage, installed wrapper, and Panel component metadata.</w:t>
      </w:r>
    </w:p>
    <w:p>
      <w:pPr>
        <w:pStyle w:val="BodyTight"/>
      </w:pPr>
      <w:r>
        <w:t>The no-effect assertions are the important part: command_registry_no_effect=1, host_process_launch_allowed=0, host_adapter_present=0, payload_artifact_present=0, seal_signature_request_present=0, receipt_write_allowed=0, vm_evidence_artifact_present=0, vm_launch_allowed=0, boot_allowed=0, production_os_claim=0, network_authority=0, and runtime_enforcement_authority=0.</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c>
          <w:tcPr>
            <w:tcW w:type="dxa" w:w="2304"/>
            <w:tcMar>
              <w:top w:w="60" w:type="dxa"/>
              <w:start w:w="70" w:type="dxa"/>
              <w:bottom w:w="60" w:type="dxa"/>
              <w:end w:w="70" w:type="dxa"/>
            </w:tcMar>
            <w:vAlign w:val="top"/>
          </w:tcPr>
          <w:p>
            <w:pPr>
              <w:spacing w:after="0"/>
            </w:pPr>
            <w:r>
              <w:rPr>
                <w:rFonts w:ascii="Liberation Sans" w:hAnsi="Liberation Sans"/>
                <w:sz w:val="16"/>
              </w:r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Pr>
                <w:rFonts w:ascii="Liberation Sans" w:hAnsi="Liberation Sans"/>
                <w:sz w:val="16"/>
              </w:r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r>
              <w:rPr>
                <w:rFonts w:ascii="Liberation Sans" w:hAnsi="Liberation Sans"/>
                <w:sz w:val="16"/>
              </w:rPr>
              <w:t>No-effect dry-run handoff, verified capability gate, verified effect decision, handoff/report/envelope/signature-request readiness, and denial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r>
        <w:tc>
          <w:tcPr>
            <w:tcW w:type="dxa" w:w="3331"/>
          </w:tcPr>
          <w:p>
            <w:r>
              <w:t>9. LC host/receipt/OS promotion gates</w:t>
            </w:r>
          </w:p>
        </w:tc>
        <w:tc>
          <w:tcPr>
            <w:tcW w:type="dxa" w:w="3331"/>
          </w:tcPr>
          <w:p>
            <w:r>
              <w:t>Promote Console planning surfaces only after receipted evidence exists.</w:t>
            </w:r>
          </w:p>
        </w:tc>
        <w:tc>
          <w:tcPr>
            <w:tcW w:type="dxa" w:w="3331"/>
          </w:tcPr>
          <w:p>
            <w:r>
              <w:t>Host adapter, receipt payload, signature request, OS-base, and VM-evidence artifacts each have schemas, tests, receipts, and non-claims before authority widens.</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Authority vector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structured record of which powers a command or lane has or explicitly lacks.</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Boundary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limit on scope, authority, or claim strength.</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Claim ledger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project record of what is implemented, evidenced, planned, or forbidden to claim.</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Effect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An observable action such as reading, writing, installing, networking, or enforcing.</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Evidence-bound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Constrained by reproducible evidence and tests.</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Fail closed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Reject unsafe, malformed, unsupported, or contradictory input instead of guessing.</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declaration of inspection scope and policy expectations.</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Receipt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witness for an operator action or installer effect.</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Report-only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mode that inspects and describes local state without runtime enforcement.</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handoff</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metadata path for enforcement decisions, not current enforcement.</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Latticra evidence, reporting, and policy-boundary layer.</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Substrate</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foundational layer of state, policy, evidence, and authority relations.</w:t>
            </w:r>
          </w:p>
        </w:tc>
      </w:tr>
      <w:tr>
        <w:tc>
          <w:tcPr>
            <w:tcW w:type="dxa" w:w="4997"/>
          </w:tcPr>
          <w:p>
            <w:pPr>
              <w:spacing w:before="0" w:after="0" w:line="240" w:lineRule="auto"/>
            </w:pPr>
            <w:r>
              <w:rPr>
                <w:rFonts w:ascii="Liberation Sans" w:hAnsi="Liberation Sans" w:eastAsia="Liberation Sans"/>
                <w:sz w:val="16"/>
              </w:rPr>
              <w:t>Verification receipt</w:t>
            </w:r>
          </w:p>
        </w:tc>
        <w:tc>
          <w:tcPr>
            <w:tcW w:type="dxa" w:w="4997"/>
          </w:tcPr>
          <w:p>
            <w:pPr>
              <w:spacing w:before="0" w:after="0" w:line="240" w:lineRule="auto"/>
            </w:pPr>
            <w:r>
              <w:rPr>
                <w:rFonts w:ascii="Liberation Sans" w:hAnsi="Liberation Sans" w:eastAsia="Liberation Sans"/>
                <w:sz w:val="16"/>
              </w:rPr>
              <w:t>A witness record for verification metadata; not authority unless later cryptographic verification and gate policy are implemented and tested.</w:t>
            </w:r>
          </w:p>
        </w:tc>
      </w:tr>
      <w:tr>
        <w:tc>
          <w:tcPr>
            <w:tcW w:type="dxa" w:w="4997"/>
          </w:tcPr>
          <w:p>
            <w:pPr>
              <w:spacing w:before="0" w:after="0" w:line="240" w:lineRule="auto"/>
            </w:pPr>
            <w:r>
              <w:rPr>
                <w:rFonts w:ascii="Liberation Sans" w:hAnsi="Liberation Sans" w:eastAsia="Liberation Sans"/>
                <w:sz w:val="16"/>
              </w:rPr>
              <w:t>Capability gate</w:t>
            </w:r>
          </w:p>
        </w:tc>
        <w:tc>
          <w:tcPr>
            <w:tcW w:type="dxa" w:w="4997"/>
          </w:tcPr>
          <w:p>
            <w:pPr>
              <w:spacing w:before="0" w:after="0" w:line="240" w:lineRule="auto"/>
            </w:pPr>
            <w:r>
              <w:rPr>
                <w:rFonts w:ascii="Liberation Sans" w:hAnsi="Liberation Sans" w:eastAsia="Liberation Sans"/>
                <w:sz w:val="16"/>
              </w:rPr>
              <w:t>A boundary record that may later decide whether a verified receipt can request a capability; currently denied for unverified metadata.</w:t>
            </w:r>
          </w:p>
        </w:tc>
      </w:tr>
      <w:tr>
        <w:tc>
          <w:tcPr>
            <w:tcW w:type="dxa" w:w="4997"/>
          </w:tcPr>
          <w:p>
            <w:pPr>
              <w:spacing w:before="0" w:after="0" w:line="240" w:lineRule="auto"/>
            </w:pPr>
            <w:r>
              <w:rPr>
                <w:rFonts w:ascii="Liberation Sans" w:hAnsi="Liberation Sans" w:eastAsia="Liberation Sans"/>
                <w:sz w:val="16"/>
              </w:rPr>
              <w:t>Effect decision</w:t>
            </w:r>
          </w:p>
        </w:tc>
        <w:tc>
          <w:tcPr>
            <w:tcW w:type="dxa" w:w="4997"/>
          </w:tcPr>
          <w:p>
            <w:pPr>
              <w:spacing w:before="0" w:after="0" w:line="240" w:lineRule="auto"/>
            </w:pPr>
            <w:r>
              <w:rPr>
                <w:rFonts w:ascii="Liberation Sans" w:hAnsi="Liberation Sans" w:eastAsia="Liberation Sans"/>
                <w:sz w:val="16"/>
              </w:rPr>
              <w:t>A record that separates an allowed gate from any actual host, network, runtime, or tool effect.</w:t>
            </w:r>
          </w:p>
        </w:tc>
      </w:tr>
      <w:tr>
        <w:tc>
          <w:tcPr>
            <w:tcW w:type="dxa" w:w="4997"/>
          </w:tcPr>
          <w:p>
            <w:pPr>
              <w:spacing w:before="0" w:after="0" w:line="240" w:lineRule="auto"/>
            </w:pPr>
            <w:r>
              <w:rPr>
                <w:rFonts w:ascii="Liberation Sans" w:hAnsi="Liberation Sans" w:eastAsia="Liberation Sans"/>
                <w:sz w:val="16"/>
              </w:rPr>
              <w:t>Verify-only result</w:t>
            </w:r>
          </w:p>
        </w:tc>
        <w:tc>
          <w:tcPr>
            <w:tcW w:type="dxa" w:w="4997"/>
          </w:tcPr>
          <w:p>
            <w:pPr>
              <w:spacing w:before="0" w:after="0" w:line="240" w:lineRule="auto"/>
            </w:pPr>
            <w:r>
              <w:rPr>
                <w:rFonts w:ascii="Liberation Sans" w:hAnsi="Liberation Sans" w:eastAsia="Liberation Sans"/>
                <w:sz w:val="16"/>
              </w:rPr>
              <w:t>A local cryptographic verification result for caller-supplied bytes that remains separate from signing, trust, capability, and effects.</w:t>
            </w:r>
          </w:p>
        </w:tc>
      </w:tr>
      <w:tr>
        <w:tc>
          <w:tcPr>
            <w:tcW w:type="dxa" w:w="4997"/>
          </w:tcPr>
          <w:p>
            <w:pPr>
              <w:spacing w:before="0" w:after="0" w:line="240" w:lineRule="auto"/>
            </w:pPr>
            <w:r>
              <w:rPr>
                <w:rFonts w:ascii="Liberation Sans" w:hAnsi="Liberation Sans" w:eastAsia="Liberation Sans"/>
                <w:sz w:val="16"/>
              </w:rPr>
              <w:t>Evidence promotion</w:t>
            </w:r>
          </w:p>
        </w:tc>
        <w:tc>
          <w:tcPr>
            <w:tcW w:type="dxa" w:w="4997"/>
          </w:tcPr>
          <w:p>
            <w:pPr>
              <w:spacing w:before="0" w:after="0" w:line="240" w:lineRule="auto"/>
            </w:pPr>
            <w:r>
              <w:rPr>
                <w:rFonts w:ascii="Liberation Sans" w:hAnsi="Liberation Sans" w:eastAsia="Liberation Sans"/>
                <w:sz w:val="16"/>
              </w:rPr>
              <w:t>A transition that strengthens a witness record, such as from a verified result to a verified receipt, without granting authority.</w:t>
            </w:r>
          </w:p>
        </w:tc>
      </w:tr>
      <w:tr>
        <w:tc>
          <w:tcPr>
            <w:tcW w:type="dxa" w:w="4997"/>
          </w:tcPr>
          <w:p>
            <w:pPr>
              <w:spacing w:before="0" w:after="0" w:line="240" w:lineRule="auto"/>
            </w:pPr>
            <w:r>
              <w:rPr>
                <w:rFonts w:ascii="Liberation Sans" w:hAnsi="Liberation Sans" w:eastAsia="Liberation Sans"/>
                <w:sz w:val="16"/>
              </w:rPr>
              <w:t>Metadata gate</w:t>
            </w:r>
          </w:p>
        </w:tc>
        <w:tc>
          <w:tcPr>
            <w:tcW w:type="dxa" w:w="4997"/>
          </w:tcPr>
          <w:p>
            <w:pPr>
              <w:spacing w:before="0" w:after="0" w:line="240" w:lineRule="auto"/>
            </w:pPr>
            <w:r>
              <w:rPr>
                <w:rFonts w:ascii="Liberation Sans" w:hAnsi="Liberation Sans" w:eastAsia="Liberation Sans"/>
                <w:sz w:val="16"/>
              </w:rPr>
              <w:t>A policy evaluation record that can allow metadata-only inspection or reporting without performing an effect.</w:t>
            </w:r>
          </w:p>
        </w:tc>
      </w:tr>
      <w:tr>
        <w:tc>
          <w:tcPr>
            <w:tcW w:type="dxa" w:w="4997"/>
          </w:tcPr>
          <w:p>
            <w:r>
              <w:rPr>
                <w:rFonts w:ascii="Liberation Sans" w:hAnsi="Liberation Sans"/>
                <w:sz w:val="16"/>
              </w:rPr>
              <w:t>Verified effect decision</w:t>
            </w:r>
          </w:p>
        </w:tc>
        <w:tc>
          <w:tcPr>
            <w:tcW w:type="dxa" w:w="4997"/>
          </w:tcPr>
          <w:p>
            <w:r>
              <w:rPr>
                <w:rFonts w:ascii="Liberation Sans" w:hAnsi="Liberation Sans"/>
                <w:sz w:val="16"/>
              </w:rPr>
              <w:t>A metadata-only classification that may set effect_allowed=1 for report/evaluate requests while keeping effect_performed=0.</w:t>
            </w:r>
          </w:p>
        </w:tc>
      </w:tr>
      <w:tr>
        <w:tc>
          <w:tcPr>
            <w:tcW w:type="dxa" w:w="4997"/>
          </w:tcPr>
          <w:p>
            <w:r>
              <w:rPr>
                <w:rFonts w:ascii="Liberation Sans" w:hAnsi="Liberation Sans"/>
                <w:sz w:val="16"/>
              </w:rPr>
              <w:t>Handoff eligibility</w:t>
            </w:r>
          </w:p>
        </w:tc>
        <w:tc>
          <w:tcPr>
            <w:tcW w:type="dxa" w:w="4997"/>
          </w:tcPr>
          <w:p>
            <w:r>
              <w:rPr>
                <w:rFonts w:ascii="Liberation Sans" w:hAnsi="Liberation Sans"/>
                <w:sz w:val="16"/>
              </w:rPr>
              <w:t>A metadata-only runtime-boundary classification that may set handoff_eligible=1 without performing a handoff.</w:t>
            </w:r>
          </w:p>
        </w:tc>
      </w:tr>
      <w:tr>
        <w:tc>
          <w:tcPr>
            <w:tcW w:type="dxa" w:w="4997"/>
          </w:tcPr>
          <w:p>
            <w:r>
              <w:rPr>
                <w:rFonts w:ascii="Liberation Sans" w:hAnsi="Liberation Sans"/>
                <w:sz w:val="16"/>
              </w:rPr>
              <w:t>Report readiness</w:t>
            </w:r>
          </w:p>
        </w:tc>
        <w:tc>
          <w:tcPr>
            <w:tcW w:type="dxa" w:w="4997"/>
          </w:tcPr>
          <w:p>
            <w:r>
              <w:rPr>
                <w:rFonts w:ascii="Liberation Sans" w:hAnsi="Liberation Sans"/>
                <w:sz w:val="16"/>
              </w:rPr>
              <w:t>A metadata-only report classification that may set report_ready=1 without runtime authority or host/network behavior.</w:t>
            </w:r>
          </w:p>
        </w:tc>
      </w:tr>
      <w:tr>
        <w:tc>
          <w:tcPr>
            <w:tcW w:type="dxa" w:w="4997"/>
          </w:tcPr>
          <w:p>
            <w:r>
              <w:rPr>
                <w:rFonts w:ascii="Liberation Sans" w:hAnsi="Liberation Sans"/>
                <w:sz w:val="16"/>
              </w:rPr>
              <w:t>Report envelope</w:t>
            </w:r>
          </w:p>
        </w:tc>
        <w:tc>
          <w:tcPr>
            <w:tcW w:type="dxa" w:w="4997"/>
          </w:tcPr>
          <w:p>
            <w:r>
              <w:rPr>
                <w:rFonts w:ascii="Liberation Sans" w:hAnsi="Liberation Sans"/>
                <w:sz w:val="16"/>
              </w:rPr>
              <w:t>A deterministic metadata envelope around ready report metadata; currently unsigned and object-unsealed.</w:t>
            </w:r>
          </w:p>
        </w:tc>
      </w:tr>
      <w:tr>
        <w:tc>
          <w:tcPr>
            <w:tcW w:type="dxa" w:w="4997"/>
          </w:tcPr>
          <w:p>
            <w:r>
              <w:rPr>
                <w:rFonts w:ascii="Liberation Sans" w:hAnsi="Liberation Sans"/>
                <w:sz w:val="16"/>
              </w:rPr>
              <w:t>Signature request</w:t>
            </w:r>
          </w:p>
        </w:tc>
        <w:tc>
          <w:tcPr>
            <w:tcW w:type="dxa" w:w="4997"/>
          </w:tcPr>
          <w:p>
            <w:r>
              <w:rPr>
                <w:rFonts w:ascii="Liberation Sans" w:hAnsi="Liberation Sans"/>
                <w:sz w:val="16"/>
              </w:rPr>
              <w:t>A metadata-only request for a future signing path that does not sign, verify, handle keys, or grant authority.</w:t>
            </w:r>
          </w:p>
        </w:tc>
      </w:tr>
      <w:tr>
        <w:tc>
          <w:tcPr>
            <w:tcW w:type="dxa" w:w="4997"/>
          </w:tcPr>
          <w:p>
            <w:r>
              <w:t>Host-adapter contract</w:t>
            </w:r>
          </w:p>
        </w:tc>
        <w:tc>
          <w:tcPr>
            <w:tcW w:type="dxa" w:w="4997"/>
          </w:tcPr>
          <w:p>
            <w:r>
              <w:t>A metadata-only LC record naming the future host embedding adapter preconditions while preserving host_adapter_present=0 and denying host authority.</w:t>
            </w:r>
          </w:p>
        </w:tc>
      </w:tr>
      <w:tr>
        <w:tc>
          <w:tcPr>
            <w:tcW w:type="dxa" w:w="4997"/>
          </w:tcPr>
          <w:p>
            <w:r>
              <w:t>Receipt request contract</w:t>
            </w:r>
          </w:p>
        </w:tc>
        <w:tc>
          <w:tcPr>
            <w:tcW w:type="dxa" w:w="4997"/>
          </w:tcPr>
          <w:p>
            <w:r>
              <w:t>A metadata-only LC record that asks for a future Seal receipt path without materializing a payload, writing a receipt, signing, or verifying.</w:t>
            </w:r>
          </w:p>
        </w:tc>
      </w:tr>
      <w:tr>
        <w:tc>
          <w:tcPr>
            <w:tcW w:type="dxa" w:w="4997"/>
          </w:tcPr>
          <w:p>
            <w:r>
              <w:t>OS-base planning contract</w:t>
            </w:r>
          </w:p>
        </w:tc>
        <w:tc>
          <w:tcPr>
            <w:tcW w:type="dxa" w:w="4997"/>
          </w:tcPr>
          <w:p>
            <w:r>
              <w:t>A metadata-only LC record naming future OS-base evidence obligations while denying boot, kernel, hardware, host, network, and runtime authority.</w:t>
            </w:r>
          </w:p>
        </w:tc>
      </w:tr>
      <w:tr>
        <w:tc>
          <w:tcPr>
            <w:tcW w:type="dxa" w:w="4997"/>
          </w:tcPr>
          <w:p>
            <w:r>
              <w:t>VM evidence contract</w:t>
            </w:r>
          </w:p>
        </w:tc>
        <w:tc>
          <w:tcPr>
            <w:tcW w:type="dxa" w:w="4997"/>
          </w:tcPr>
          <w:p>
            <w:r>
              <w:t>A metadata-only LC record naming future VM evidence obligations while denying VM launch, hypervisor access, disk-image mutation, guest networking, host mutation, and boot authority.</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t>A strong public sentence: "Latticra is an early, local, evidence-bound substrate for report-only verification, policy regression, manifest/hash baselines, authority-neutral Ed25519 verification evidence, metadata-only Seal gate/effect/handoff/report/envelope/signature-request classification, metadata-only Console host/receipt/OS/VM contract surfaces, guarded user-local installation,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t>This edition was derived from the Latticra Seal handbook and recent repository material covering signed-request, freshness, verification, Seal metadata ladder extensions through signature request, Console host-adapter/receipt-request/payload/signature/OS/VM contract surfaces, installer, Panel, Nucleus, Nadia, macOS, Fedora/RPM, Lat/LIR, and one-pass field-engine evidence. It distinguishes implemented facts from inferred substrate architecture and preserves project non-claims.</w:t>
      </w:r>
    </w:p>
    <w:tbl>
      <w:tblPr>
        <w:tblStyle w:val="TableGrid"/>
        <w:tblW w:type="auto" w:w="0"/>
        <w:jc w:val="center"/>
        <w:tblLook w:firstColumn="1" w:firstRow="1" w:lastColumn="0" w:lastRow="0" w:noHBand="0" w:noVBand="1" w:val="04A0"/>
      </w:tblPr>
      <w:tblGrid>
        <w:gridCol w:w="4997"/>
        <w:gridCol w:w="4997"/>
      </w:tblGrid>
      <w:t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handbook</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role, architecture, policy, reports, boundaries, and roadmap.</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installer material</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Project-level component map, UI/installer workflow, authority visibility.</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receipts and dry-run evidence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user-local installation and receipt semantics.</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Fedora/RPM validation snippets</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Validation lane framing with explicit non-claims.</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One-pass field engine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artifact and witness-manifest pattern.</w:t>
            </w:r>
          </w:p>
        </w:tc>
      </w:tr>
      <w:tr>
        <w:tc>
          <w:tcPr>
            <w:tcW w:type="dxa" w:w="4997"/>
          </w:tcPr>
          <w:p>
            <w:pPr>
              <w:spacing w:before="0" w:after="0" w:line="240" w:lineRule="auto"/>
            </w:pPr>
            <w:r>
              <w:rPr>
                <w:rFonts w:ascii="Liberation Sans" w:hAnsi="Liberation Sans" w:eastAsia="Liberation Sans"/>
                <w:sz w:val="16"/>
              </w:rPr>
              <w:t>Latticra Console foundation</w:t>
            </w:r>
          </w:p>
        </w:tc>
        <w:tc>
          <w:tcPr>
            <w:tcW w:type="dxa" w:w="4997"/>
          </w:tcPr>
          <w:p>
            <w:r>
              <w:t>Stage-0 command registry, Panel installability, runtime-boundary binding, host-adapter contract, receipt-request/payload/signature-request-binding contracts, OS-base planning, VM-evidence contract, and no-effect operator-surface posture.</w:t>
            </w:r>
          </w:p>
        </w:tc>
      </w:tr>
      <w:tr>
        <w:tc>
          <w:tcPr>
            <w:tcW w:type="dxa" w:w="4997"/>
          </w:tcPr>
          <w:p>
            <w:pPr>
              <w:spacing w:before="0" w:after="0" w:line="240" w:lineRule="auto"/>
            </w:pPr>
            <w:r>
              <w:rPr>
                <w:rFonts w:ascii="Liberation Sans" w:hAnsi="Liberation Sans" w:eastAsia="Liberation Sans"/>
                <w:sz w:val="16"/>
              </w:rPr>
              <w:t>Nucleus task boundary</w:t>
            </w:r>
          </w:p>
        </w:tc>
        <w:tc>
          <w:tcPr>
            <w:tcW w:type="dxa" w:w="4997"/>
          </w:tcPr>
          <w:p>
            <w:pPr>
              <w:spacing w:before="0" w:after="0" w:line="240" w:lineRule="auto"/>
            </w:pPr>
            <w:r>
              <w:rPr>
                <w:rFonts w:ascii="Liberation Sans" w:hAnsi="Liberation Sans" w:eastAsia="Liberation Sans"/>
                <w:sz w:val="16"/>
              </w:rPr>
              <w:t>Report-only task classification, no-effect alignment, execution-status labels, and future-gated task vocabulary.</w:t>
            </w:r>
          </w:p>
        </w:tc>
      </w:tr>
      <w:tr>
        <w:tc>
          <w:tcPr>
            <w:tcW w:type="dxa" w:w="4997"/>
          </w:tcPr>
          <w:p>
            <w:pPr>
              <w:spacing w:before="0" w:after="0" w:line="240" w:lineRule="auto"/>
            </w:pPr>
            <w:r>
              <w:rPr>
                <w:rFonts w:ascii="Liberation Sans" w:hAnsi="Liberation Sans" w:eastAsia="Liberation Sans"/>
                <w:sz w:val="16"/>
              </w:rPr>
              <w:t>Nadia offline AI contracts</w:t>
            </w:r>
          </w:p>
        </w:tc>
        <w:tc>
          <w:tcPr>
            <w:tcW w:type="dxa" w:w="4997"/>
          </w:tcPr>
          <w:p>
            <w:pPr>
              <w:spacing w:before="0" w:after="0" w:line="240" w:lineRule="auto"/>
            </w:pPr>
            <w:r>
              <w:rPr>
                <w:rFonts w:ascii="Liberation Sans" w:hAnsi="Liberation Sans" w:eastAsia="Liberation Sans"/>
                <w:sz w:val="16"/>
              </w:rPr>
              <w:t>Stage-0 through Stage-27 metadata ladder for Panel/Console visibility, local context, model/prompt/tokenizer contracts, prompt-token-sequence and context-window boundaries, and denied AI/tool authority.</w:t>
            </w:r>
          </w:p>
        </w:tc>
      </w:tr>
      <w:tr>
        <w:tc>
          <w:tcPr>
            <w:tcW w:type="dxa" w:w="4997"/>
          </w:tcPr>
          <w:p>
            <w:pPr>
              <w:spacing w:before="0" w:after="0" w:line="240" w:lineRule="auto"/>
            </w:pPr>
            <w:r>
              <w:rPr>
                <w:rFonts w:ascii="Liberation Sans" w:hAnsi="Liberation Sans" w:eastAsia="Liberation Sans"/>
                <w:sz w:val="16"/>
              </w:rPr>
              <w:t>macOS user-local app bundle lane</w:t>
            </w:r>
          </w:p>
        </w:tc>
        <w:tc>
          <w:tcPr>
            <w:tcW w:type="dxa" w:w="4997"/>
          </w:tcPr>
          <w:p>
            <w:pPr>
              <w:spacing w:before="0" w:after="0" w:line="240" w:lineRule="auto"/>
            </w:pPr>
            <w:r>
              <w:rPr>
                <w:rFonts w:ascii="Liberation Sans" w:hAnsi="Liberation Sans" w:eastAsia="Liberation Sans"/>
                <w:sz w:val="16"/>
              </w:rPr>
              <w:t>Dry-run writer posture, user-local app bundle contract, commit gate, reset/uninstall contract, and verification transcript requirements.</w:t>
            </w:r>
          </w:p>
        </w:tc>
      </w:tr>
      <w:tr>
        <w:tc>
          <w:tcPr>
            <w:tcW w:type="dxa" w:w="4997"/>
          </w:tcPr>
          <w:p>
            <w:pPr>
              <w:spacing w:before="0" w:after="0" w:line="240" w:lineRule="auto"/>
            </w:pPr>
            <w:r>
              <w:rPr>
                <w:rFonts w:ascii="Liberation Sans" w:hAnsi="Liberation Sans" w:eastAsia="Liberation Sans"/>
                <w:sz w:val="16"/>
              </w:rPr>
              <w:t>Fedora RPM validation lanes</w:t>
            </w:r>
          </w:p>
        </w:tc>
        <w:tc>
          <w:tcPr>
            <w:tcW w:type="dxa" w:w="4997"/>
          </w:tcPr>
          <w:p>
            <w:pPr>
              <w:spacing w:before="0" w:after="0" w:line="240" w:lineRule="auto"/>
            </w:pPr>
            <w:r>
              <w:rPr>
                <w:rFonts w:ascii="Liberation Sans" w:hAnsi="Liberation Sans" w:eastAsia="Liberation Sans"/>
                <w:sz w:val="16"/>
              </w:rPr>
              <w:t>Installroot and disposable-VM RPM lifecycle evidence, bounded host-facing validation vocabulary, and Fedora non-claims.</w:t>
            </w:r>
          </w:p>
        </w:tc>
      </w:tr>
      <w:tr>
        <w:tc>
          <w:tcPr>
            <w:tcW w:type="dxa" w:w="4997"/>
          </w:tcPr>
          <w:p>
            <w:pPr>
              <w:spacing w:before="0" w:after="0" w:line="240" w:lineRule="auto"/>
            </w:pPr>
            <w:r>
              <w:rPr>
                <w:rFonts w:ascii="Liberation Sans" w:hAnsi="Liberation Sans" w:eastAsia="Liberation Sans"/>
                <w:sz w:val="16"/>
              </w:rPr>
              <w:t>Production installer readiness contract</w:t>
            </w:r>
          </w:p>
        </w:tc>
        <w:tc>
          <w:tcPr>
            <w:tcW w:type="dxa" w:w="4997"/>
          </w:tcPr>
          <w:p>
            <w:pPr>
              <w:spacing w:before="0" w:after="0" w:line="240" w:lineRule="auto"/>
            </w:pPr>
            <w:r>
              <w:rPr>
                <w:rFonts w:ascii="Liberation Sans" w:hAnsi="Liberation Sans" w:eastAsia="Liberation Sans"/>
                <w:sz w:val="16"/>
              </w:rPr>
              <w:t>Promotion gates for future installer artifacts, signatures, SBOM, install/uninstall/rollback transcripts, multi-VM validation, and readiness non-claims.</w:t>
            </w:r>
          </w:p>
        </w:tc>
      </w:tr>
      <w:tr>
        <w:tc>
          <w:tcPr>
            <w:tcW w:type="dxa" w:w="4997"/>
          </w:tcPr>
          <w:p>
            <w:r>
              <w:rPr>
                <w:rFonts w:ascii="Liberation Sans" w:hAnsi="Liberation Sans"/>
                <w:sz w:val="16"/>
              </w:rPr>
              <w:t>Seal trust and crypto metadata ladder</w:t>
            </w:r>
          </w:p>
        </w:tc>
        <w:tc>
          <w:tcPr>
            <w:tcW w:type="dxa" w:w="4997"/>
          </w:tcPr>
          <w:p>
            <w:r>
              <w:rPr>
                <w:rFonts w:ascii="Liberation Sans" w:hAnsi="Liberation Sans"/>
                <w:sz w:val="16"/>
              </w:rPr>
              <w:t>Signed request, freshness, receipt/backend, Ed25519 verify-only, verified receipt, gate, effect, handoff, report, envelope, and signature-request metadata boundaries.</w:t>
            </w:r>
          </w:p>
        </w:tc>
      </w:tr>
      <w:tr>
        <w:tc>
          <w:tcPr>
            <w:tcW w:type="dxa" w:w="4997"/>
          </w:tcPr>
          <w:p>
            <w:r>
              <w:rPr>
                <w:rFonts w:ascii="Liberation Sans" w:hAnsi="Liberation Sans"/>
                <w:sz w:val="16"/>
              </w:rPr>
              <w:t>Seal authority non-claims</w:t>
            </w:r>
          </w:p>
        </w:tc>
        <w:tc>
          <w:tcPr>
            <w:tcW w:type="dxa" w:w="4997"/>
          </w:tcPr>
          <w:p>
            <w:r>
              <w:rPr>
                <w:rFonts w:ascii="Liberation Sans" w:hAnsi="Liberation Sans"/>
                <w:sz w:val="16"/>
              </w:rPr>
              <w:t>Readiness flags remain separated from signing, object sealing, effect execution, host/network behavior, and runtime authority.</w:t>
            </w:r>
          </w:p>
        </w:tc>
      </w:tr>
    </w:tbl>
    <w:p>
      <w:pPr>
        <w:pStyle w:val="BodyTight"/>
      </w:pPr>
    </w:p>
    <w:p>
      <w:pPr>
        <w:pStyle w:val="BodyTight"/>
      </w:pPr>
      <w:r>
        <w:t>Future editions should replace inferred connective tissue with canonical specs for root architecture, Lat/LIR, Panel, Console, Nucleus, Nadia, Seal, installers, platform validation, reports, receipts, and runtime handoff.</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ListNumber"/>
      </w:pPr>
      <w:r>
        <w:t>For AI-era surfaces, distinguish contract metadata from model loading, prompt tokenization, inference, dialogue generation, source mutation, and tool execution.</w:t>
      </w:r>
    </w:p>
    <w:p>
      <w:pPr>
        <w:pStyle w:val="ListNumber"/>
      </w:pPr>
      <w:r>
        <w:t>For platform work, distinguish dry-run, installroot, disposable-VM, manual-host, and production-installer evidence.</w:t>
      </w:r>
    </w:p>
    <w:p>
      <w:pPr>
        <w:pStyle w:val="ListNumber"/>
      </w:pPr>
      <w:r>
        <w:t>For Seal work, follow the ladder through verified receipt, gate, effect, handoff, report, envelope, and signature-request metadata; never skip from evidence to authority.</w:t>
      </w:r>
    </w:p>
    <w:p>
      <w:pPr>
        <w:pStyle w:val="ListNumber"/>
      </w:pPr>
      <w:r>
        <w:t>For Console work, distinguish contract-present metadata from adapter presence, payload materialization, signature requests, receipt writing, VM launch, OS-base behavior, and boot authority.</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