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320"/>
        <w:jc w:val="center"/>
      </w:pPr>
      <w:r>
        <w:rPr>
          <w:rFonts w:ascii="Arial" w:hAnsi="Arial"/>
          <w:b/>
          <w:i w:val="0"/>
          <w:color w:val="999999"/>
          <w:sz w:val="26"/>
        </w:rPr>
        <w:t>HEALING HEARTS</w:t>
      </w:r>
    </w:p>
    <w:p>
      <w:pPr>
        <w:spacing w:before="0" w:after="80"/>
        <w:jc w:val="center"/>
        <w:pBdr>
          <w:bottom w:val="single" w:sz="4" w:space="8" w:color="B96A5F"/>
        </w:pBdr>
      </w:pPr>
      <w:r>
        <w:rPr>
          <w:rFonts w:ascii="Cormorant Garamond" w:hAnsi="Cormorant Garamond"/>
          <w:b w:val="0"/>
          <w:i w:val="0"/>
          <w:color w:val="1191B1"/>
          <w:sz w:val="72"/>
        </w:rPr>
        <w:t>Healing Hearts Website — Customer-Facing Copy Audit</w:t>
      </w:r>
    </w:p>
    <w:p>
      <w:pPr>
        <w:spacing w:before="160" w:after="400"/>
        <w:jc w:val="center"/>
      </w:pPr>
      <w:r>
        <w:rPr>
          <w:rFonts w:ascii="Cormorant Garamond" w:hAnsi="Cormorant Garamond"/>
          <w:b w:val="0"/>
          <w:i/>
          <w:color w:val="B96A5F"/>
          <w:sz w:val="44"/>
        </w:rPr>
        <w:t>Review Document</w:t>
      </w:r>
    </w:p>
    <w:p>
      <w:pPr>
        <w:spacing w:before="0" w:after="0"/>
        <w:jc w:val="center"/>
      </w:pPr>
      <w:r>
        <w:rPr>
          <w:rFonts w:ascii="Arial" w:hAnsi="Arial"/>
          <w:b w:val="0"/>
          <w:i w:val="0"/>
          <w:color w:val="999999"/>
          <w:sz w:val="22"/>
        </w:rPr>
        <w:t>Prepared by Healing Hearts Website Project  |  March 26, 2026</w:t>
      </w:r>
    </w:p>
    <w:p>
      <w:r>
        <w:br w:type="page"/>
      </w:r>
    </w:p>
    <w:p>
      <w:pPr>
        <w:spacing w:before="0" w:after="200"/>
      </w:pPr>
      <w:r>
        <w:rPr>
          <w:rFonts w:ascii="Arial" w:hAnsi="Arial"/>
          <w:b/>
          <w:i w:val="0"/>
          <w:color w:val="171717"/>
          <w:sz w:val="24"/>
        </w:rPr>
        <w:t>Dear Trisha,</w:t>
      </w:r>
    </w:p>
    <w:p>
      <w:pPr>
        <w:spacing w:before="0" w:after="160"/>
      </w:pPr>
      <w:r>
        <w:rPr>
          <w:rFonts w:ascii="Arial" w:hAnsi="Arial"/>
          <w:b w:val="0"/>
          <w:i w:val="0"/>
          <w:color w:val="171717"/>
          <w:sz w:val="22"/>
        </w:rPr>
        <w:t>This document is a structured audit of every word a prospect or client encounters across the Healing Hearts website. All copy was extracted verbatim from the live site source on March 25, 2026. It covers 14+ marketing pages, a five-step application form, 23+ email templates across three sequences, and the Makayla close process SOP.</w:t>
      </w:r>
    </w:p>
    <w:p>
      <w:pPr>
        <w:spacing w:before="0" w:after="160"/>
      </w:pPr>
      <w:r>
        <w:rPr>
          <w:rFonts w:ascii="Arial" w:hAnsi="Arial"/>
          <w:b w:val="0"/>
          <w:i w:val="0"/>
          <w:color w:val="171717"/>
          <w:sz w:val="22"/>
        </w:rPr>
        <w:t>The audit starts from a strong foundation. The bridge email sequence is genuinely excellent — the storytelling, the Critter Brain / CEO Brain framework introduction, the patient non-pressure cadence. The testimonials page earns trust. The Makayla close SOP is one of the best assets on the site. This review is not a signal that the copy is broken. It is a signal that the copy is ready to be intentional across every surface, not just the ones that received the most attention.</w:t>
      </w:r>
    </w:p>
    <w:p>
      <w:pPr>
        <w:spacing w:before="0" w:after="160"/>
      </w:pPr>
      <w:r>
        <w:rPr>
          <w:rFonts w:ascii="Arial" w:hAnsi="Arial"/>
          <w:b w:val="0"/>
          <w:i w:val="0"/>
          <w:color w:val="171717"/>
          <w:sz w:val="22"/>
        </w:rPr>
        <w:t>One finding carries its own urgency. Trisha is speaking at Be Healthy Utah on April 17–18 — 22 days from now. A conference landing page does not yet exist. That is the single highest-priority gap in this audit. Everything else in this document can follow in the weeks after that page is live.</w:t>
      </w:r>
    </w:p>
    <w:p>
      <w:pPr>
        <w:spacing w:before="0" w:after="160"/>
      </w:pPr>
      <w:r>
        <w:rPr>
          <w:rFonts w:ascii="Arial" w:hAnsi="Arial"/>
          <w:b w:val="0"/>
          <w:i w:val="0"/>
          <w:color w:val="171717"/>
          <w:sz w:val="22"/>
        </w:rPr>
        <w:t>The findings below are organized by severity (High, Medium, Low). Each finding includes an observation, an impact, and a severity rating. The recommendations section translates those findings into a prioritized action table with clear owners and timelines. Trisha and Makayla can act on their respective next steps without Chase in the room.</w:t>
      </w:r>
    </w:p>
    <w:p>
      <w:pPr>
        <w:spacing w:before="0" w:after="160"/>
      </w:pPr>
      <w:r>
        <w:rPr>
          <w:rFonts w:ascii="Arial" w:hAnsi="Arial"/>
          <w:b w:val="0"/>
          <w:i w:val="0"/>
          <w:color w:val="171717"/>
          <w:sz w:val="22"/>
        </w:rPr>
        <w:t>With respect for the work already done,</w:t>
      </w:r>
    </w:p>
    <w:p>
      <w:pPr>
        <w:spacing w:before="240" w:after="0"/>
      </w:pPr>
      <w:r>
        <w:rPr>
          <w:rFonts w:ascii="Arial" w:hAnsi="Arial"/>
          <w:b w:val="0"/>
          <w:i/>
          <w:color w:val="1191B1"/>
          <w:sz w:val="22"/>
        </w:rPr>
        <w:t>The Healing Hearts Website Project</w:t>
        <w:br/>
        <w:t>---</w:t>
      </w:r>
    </w:p>
    <w:p>
      <w:r>
        <w:br w:type="page"/>
      </w:r>
    </w:p>
    <w:p>
      <w:r>
        <w:br w:type="page"/>
      </w:r>
    </w:p>
    <w:p>
      <w:pPr>
        <w:pStyle w:val="Heading1"/>
        <w:spacing w:before="320" w:after="160"/>
        <w:pBdr>
          <w:bottom w:val="single" w:sz="4" w:space="4" w:color="1191B1"/>
        </w:pBdr>
      </w:pPr>
      <w:r>
        <w:rPr>
          <w:rFonts w:ascii="Cormorant Garamond" w:hAnsi="Cormorant Garamond"/>
          <w:b/>
          <w:color w:val="1191B1"/>
          <w:sz w:val="40"/>
        </w:rPr>
        <w:t>Executive Summary</w:t>
      </w:r>
    </w:p>
    <w:p>
      <w:pPr>
        <w:spacing w:before="0" w:after="200"/>
      </w:pPr>
      <w:r>
        <w:rPr>
          <w:rFonts w:ascii="Arial" w:hAnsi="Arial"/>
          <w:b w:val="0"/>
          <w:i w:val="0"/>
          <w:color w:val="171717"/>
          <w:sz w:val="22"/>
        </w:rPr>
        <w:t>This audit reviewed all customer-facing copy across the Healing Hearts website. The scope included 14+ marketing pages (Home, Apply, Book Call, Your Next Step, Testimonials, Webinar Register, Webinar Live, Webinar Replay, and supporting pages), a five-step application form, 23+ email templates spanning the bridge sequence, webinar registration and follow-up sequence, application confirmation, and the Makayla close process SOP with its five-touch email series.</w:t>
      </w:r>
      <w:r>
        <w:rPr>
          <w:rFonts w:ascii="Arial" w:hAnsi="Arial"/>
          <w:b w:val="0"/>
          <w:i w:val="0"/>
          <w:color w:val="171717"/>
          <w:sz w:val="22"/>
        </w:rPr>
        <w:t>This audit reviewed all customer-facing copy across the Healing Hearts website. The scope included 14+ marketing pages (Home, Apply, Book Call, Your Next Step, Testimonials, Webinar Register, Webinar Live, Webinar Replay, and supporting pages), a five-step application form, 23+ email templates spanning the bridge sequence, webinar registration and follow-up sequence, application confirmation, and the Makayla close process SOP with its five-touch email series.</w:t>
      </w:r>
    </w:p>
    <w:p>
      <w:pPr>
        <w:spacing w:before="0" w:after="200"/>
      </w:pPr>
      <w:r>
        <w:rPr>
          <w:rFonts w:ascii="Arial" w:hAnsi="Arial"/>
          <w:b w:val="0"/>
          <w:i w:val="0"/>
          <w:color w:val="171717"/>
          <w:sz w:val="22"/>
        </w:rPr>
        <w:t>The copy demonstrates an unusually strong and consistent emotional voice. Trisha's story-driven, faith-informed warmth is present in every bridge email and carries through the testimonials page. The Makayla close SOP is particularly well-crafted — the objection handler, the testimonial email, and the Day 14 long-term nurture transition are all publication-ready. The main category of risk is not errors in the existing copy. It is gaps: places where the voice and framework vocabulary that prospects learn in the bridge emails do not carry through to the transactional pages they encounter next.</w:t>
      </w:r>
      <w:r>
        <w:rPr>
          <w:rFonts w:ascii="Arial" w:hAnsi="Arial"/>
          <w:b w:val="0"/>
          <w:i w:val="0"/>
          <w:color w:val="171717"/>
          <w:sz w:val="22"/>
        </w:rPr>
        <w:t>The copy demonstrates an unusually strong and consistent emotional voice. Trisha's story-driven, faith-informed warmth is present in every bridge email and carries through the testimonials page. The Makayla close SOP is particularly well-crafted — the objection handler, the testimonial email, and the Day 14 long-term nurture transition are all publication-ready. The main category of risk is not errors in the existing copy. It is gaps: places where the voice and framework vocabulary that prospects learn in the bridge emails do not carry through to the transactional pages they encounter next.</w:t>
      </w:r>
    </w:p>
    <w:p>
      <w:pPr>
        <w:spacing w:before="0" w:after="200"/>
      </w:pPr>
      <w:r>
        <w:rPr>
          <w:rFonts w:ascii="Arial" w:hAnsi="Arial"/>
          <w:b w:val="0"/>
          <w:i w:val="0"/>
          <w:color w:val="171717"/>
          <w:sz w:val="22"/>
        </w:rPr>
        <w:t>Three findings carry High severity. First, no conference landing page exists for the Be Healthy Utah event on April 17–18. Second, proprietary framework names (SPARK Method, Zones of Resilience, Critter Brain, CEO Brain, 90-Second Wave, Core Wounds, 12 Subconscious Principles) are used correctly in emails and the testimonials page but are absent from the Apply page, Book Call page, Application Success page, and Your Next Step page. Third, form error messages and validation fallback states use generic system-default language that breaks the warm voice established by field placeholders on the same pages.</w:t>
      </w:r>
      <w:r>
        <w:rPr>
          <w:rFonts w:ascii="Arial" w:hAnsi="Arial"/>
          <w:b w:val="0"/>
          <w:i w:val="0"/>
          <w:color w:val="171717"/>
          <w:sz w:val="22"/>
        </w:rPr>
        <w:t>Three findings carry High severity. First, no conference landing page exists for the Be Healthy Utah event on April 17–18. Second, proprietary framework names (SPARK Method, Zones of Resilience, Critter Brain, CEO Brain, 90-Second Wave, Core Wounds, 12 Subconscious Principles) are used correctly in emails and the testimonials page but are absent from the Apply page, Book Call page, Application Success page, and Your Next Step page. Third, form error messages and validation fallback states use generic system-default language that breaks the warm voice established by field placeholders on the same pages.</w:t>
      </w:r>
    </w:p>
    <w:p>
      <w:pPr>
        <w:spacing w:before="0" w:after="200"/>
      </w:pPr>
      <w:r>
        <w:rPr>
          <w:rFonts w:ascii="Arial" w:hAnsi="Arial"/>
          <w:b w:val="0"/>
          <w:i w:val="0"/>
          <w:color w:val="171717"/>
          <w:sz w:val="22"/>
        </w:rPr>
        <w:t>The recommended path forward is straightforward. Build the conference landing page immediately — it is independent of all other work. Insert framework language into the Apply page in a single targeted pass. Rewrite form error messages in under an hour. These three actions address all High-severity findings before the April 10 target date. Medium and Low findings follow in a separate wave.</w:t>
      </w:r>
      <w:r>
        <w:rPr>
          <w:rFonts w:ascii="Arial" w:hAnsi="Arial"/>
          <w:b w:val="0"/>
          <w:i w:val="0"/>
          <w:color w:val="171717"/>
          <w:sz w:val="22"/>
        </w:rPr>
        <w:t>The recommended path forward is straightforward. Build the conference landing page immediately — it is independent of all other work. Insert framework language into the Apply page in a single targeted pass. Rewrite form error messages in under an hour. These three actions address all High-severity findings before the April 10 target date. Medium and Low findings follow in a separate wave.</w:t>
      </w:r>
    </w:p>
    <w:p>
      <w:pPr>
        <w:spacing w:before="160" w:after="160"/>
        <w:pBdr>
          <w:bottom w:val="single" w:sz="2" w:space="0" w:color="7CC7D9"/>
        </w:pBdr>
      </w:pPr>
    </w:p>
    <w:p>
      <w:r>
        <w:br w:type="page"/>
      </w:r>
    </w:p>
    <w:p>
      <w:pPr>
        <w:pStyle w:val="Heading1"/>
        <w:spacing w:before="320" w:after="160"/>
        <w:pBdr>
          <w:bottom w:val="single" w:sz="4" w:space="4" w:color="1191B1"/>
        </w:pBdr>
      </w:pPr>
      <w:r>
        <w:rPr>
          <w:rFonts w:ascii="Cormorant Garamond" w:hAnsi="Cormorant Garamond"/>
          <w:b/>
          <w:color w:val="1191B1"/>
          <w:sz w:val="40"/>
        </w:rPr>
        <w:t>Findings</w:t>
      </w:r>
    </w:p>
    <w:p>
      <w:pPr>
        <w:pStyle w:val="Heading2"/>
        <w:spacing w:before="280" w:after="120"/>
      </w:pPr>
      <w:r>
        <w:rPr>
          <w:rFonts w:ascii="Arial" w:hAnsi="Arial"/>
          <w:b/>
          <w:color w:val="B96A5F"/>
          <w:sz w:val="28"/>
        </w:rPr>
        <w:t>Finding 1: Conference Landing Page Does Not Exist</w:t>
      </w:r>
    </w:p>
    <w:p>
      <w:pPr>
        <w:spacing w:before="0" w:after="200"/>
      </w:pPr>
      <w:r>
        <w:rPr>
          <w:rFonts w:ascii="Arial" w:hAnsi="Arial"/>
          <w:b/>
          <w:i w:val="0"/>
          <w:color w:val="1191B1"/>
          <w:sz w:val="22"/>
        </w:rPr>
        <w:t xml:space="preserve">Severity: </w:t>
      </w:r>
      <w:r>
        <w:rPr>
          <w:rFonts w:ascii="Arial" w:hAnsi="Arial"/>
          <w:b w:val="0"/>
          <w:i w:val="0"/>
          <w:color w:val="171717"/>
          <w:sz w:val="22"/>
        </w:rPr>
        <w:t>High</w:t>
      </w:r>
      <w:r>
        <w:rPr>
          <w:rFonts w:ascii="Arial" w:hAnsi="Arial"/>
          <w:b w:val="0"/>
          <w:i w:val="0"/>
          <w:color w:val="171717"/>
          <w:sz w:val="22"/>
        </w:rPr>
        <w:t>High</w:t>
      </w:r>
    </w:p>
    <w:p>
      <w:pPr>
        <w:spacing w:before="0" w:after="200"/>
      </w:pPr>
      <w:r>
        <w:rPr>
          <w:rFonts w:ascii="Arial" w:hAnsi="Arial"/>
          <w:b/>
          <w:i w:val="0"/>
          <w:color w:val="1191B1"/>
          <w:sz w:val="22"/>
        </w:rPr>
        <w:t xml:space="preserve">Observation: </w:t>
      </w:r>
      <w:r>
        <w:rPr>
          <w:rFonts w:ascii="Arial" w:hAnsi="Arial"/>
          <w:b w:val="0"/>
          <w:i w:val="0"/>
          <w:color w:val="171717"/>
          <w:sz w:val="22"/>
        </w:rPr>
        <w:t>The copy audit contains no source material for a conference landing page. Trisha is speaking at Be Healthy Utah on April 17–18. No dedicated URL exists — no /conference, /utah, or event-specific path. The existing site structure (Your Next Step, Apply, Book Call) was designed for warm digital traffic. None of those pages are equipped for in-person event traffic arriving cold from a QR code or spoken URL.</w:t>
      </w:r>
      <w:r>
        <w:rPr>
          <w:rFonts w:ascii="Arial" w:hAnsi="Arial"/>
          <w:b w:val="0"/>
          <w:i w:val="0"/>
          <w:color w:val="171717"/>
          <w:sz w:val="22"/>
        </w:rPr>
        <w:t>The copy audit contains no source material for a conference landing page. Trisha is speaking at Be Healthy Utah on April 17–18. No dedicated URL exists — no /conference, /utah, or event-specific path. The existing site structure (Your Next Step, Apply, Book Call) was designed for warm digital traffic. None of those pages are equipped for in-person event traffic arriving cold from a QR code or spoken URL.</w:t>
      </w:r>
    </w:p>
    <w:p>
      <w:pPr>
        <w:spacing w:before="0" w:after="200"/>
      </w:pPr>
      <w:r>
        <w:rPr>
          <w:rFonts w:ascii="Arial" w:hAnsi="Arial"/>
          <w:b/>
          <w:i w:val="0"/>
          <w:color w:val="1191B1"/>
          <w:sz w:val="22"/>
        </w:rPr>
        <w:t xml:space="preserve">Impact: </w:t>
      </w:r>
      <w:r>
        <w:rPr>
          <w:rFonts w:ascii="Arial" w:hAnsi="Arial"/>
          <w:b w:val="0"/>
          <w:i w:val="0"/>
          <w:color w:val="171717"/>
          <w:sz w:val="22"/>
        </w:rPr>
        <w:t>Conference attendees arriving from a business card, QR code, or spoken URL will land on a page that does not know they exist. There is no page that acknowledges the event, Trisha's presence there, or the specific next step relevant to that audience. Warm, already-engaged conference traffic will drop off at the highest-value moment. This page must be live before April 10 to allow time for QR code generation and materials.</w:t>
      </w:r>
      <w:r>
        <w:rPr>
          <w:rFonts w:ascii="Arial" w:hAnsi="Arial"/>
          <w:b w:val="0"/>
          <w:i w:val="0"/>
          <w:color w:val="171717"/>
          <w:sz w:val="22"/>
        </w:rPr>
        <w:t>Conference attendees arriving from a business card, QR code, or spoken URL will land on a page that does not know they exist. There is no page that acknowledges the event, Trisha's presence there, or the specific next step relevant to that audience. Warm, already-engaged conference traffic will drop off at the highest-value moment. This page must be live before April 10 to allow time for QR code generation and materials.</w:t>
      </w:r>
    </w:p>
    <w:p>
      <w:pPr>
        <w:pStyle w:val="Heading2"/>
        <w:spacing w:before="280" w:after="120"/>
      </w:pPr>
      <w:r>
        <w:rPr>
          <w:rFonts w:ascii="Arial" w:hAnsi="Arial"/>
          <w:b/>
          <w:color w:val="B96A5F"/>
          <w:sz w:val="28"/>
        </w:rPr>
        <w:t>Finding 2: Proprietary Framework Names Are Used Inconsistently</w:t>
      </w:r>
    </w:p>
    <w:p>
      <w:pPr>
        <w:spacing w:before="0" w:after="200"/>
      </w:pPr>
      <w:r>
        <w:rPr>
          <w:rFonts w:ascii="Arial" w:hAnsi="Arial"/>
          <w:b/>
          <w:i w:val="0"/>
          <w:color w:val="1191B1"/>
          <w:sz w:val="22"/>
        </w:rPr>
        <w:t xml:space="preserve">Severity: </w:t>
      </w:r>
      <w:r>
        <w:rPr>
          <w:rFonts w:ascii="Arial" w:hAnsi="Arial"/>
          <w:b w:val="0"/>
          <w:i w:val="0"/>
          <w:color w:val="171717"/>
          <w:sz w:val="22"/>
        </w:rPr>
        <w:t>High</w:t>
      </w:r>
      <w:r>
        <w:rPr>
          <w:rFonts w:ascii="Arial" w:hAnsi="Arial"/>
          <w:b w:val="0"/>
          <w:i w:val="0"/>
          <w:color w:val="171717"/>
          <w:sz w:val="22"/>
        </w:rPr>
        <w:t>High</w:t>
      </w:r>
    </w:p>
    <w:p>
      <w:pPr>
        <w:spacing w:before="0" w:after="200"/>
      </w:pPr>
      <w:r>
        <w:rPr>
          <w:rFonts w:ascii="Arial" w:hAnsi="Arial"/>
          <w:b/>
          <w:i w:val="0"/>
          <w:color w:val="1191B1"/>
          <w:sz w:val="22"/>
        </w:rPr>
        <w:t xml:space="preserve">Observation: </w:t>
      </w:r>
      <w:r>
        <w:rPr>
          <w:rFonts w:ascii="Arial" w:hAnsi="Arial"/>
          <w:b w:val="0"/>
          <w:i w:val="0"/>
          <w:color w:val="171717"/>
          <w:sz w:val="22"/>
        </w:rPr>
        <w:t>The bridge email sequence uses the full framework vocabulary correctly throughout. SPARK Method, Zones of Resilience, Critter Brain, CEO Brain, 90-Second Wave, Core Wounds, and 12 Subconscious Principles all appear in context, with explanation, across Days 10 and 13. The webinar follow-up emails reinforce the same language. The testimonials page uses Zones of Resilience, Critter Brain, and Core Wounds correctly in client quotes. The Apply page, Book Call page, Application Success page, and Your Next Step page use none of these terms. The Apply page uses generic phrasing at every stage: "your relationship right now," "biggest challenge," "where do you want to go." Framework anchors are absent.</w:t>
      </w:r>
      <w:r>
        <w:rPr>
          <w:rFonts w:ascii="Arial" w:hAnsi="Arial"/>
          <w:b w:val="0"/>
          <w:i w:val="0"/>
          <w:color w:val="171717"/>
          <w:sz w:val="22"/>
        </w:rPr>
        <w:t>The bridge email sequence uses the full framework vocabulary correctly throughout. SPARK Method, Zones of Resilience, Critter Brain, CEO Brain, 90-Second Wave, Core Wounds, and 12 Subconscious Principles all appear in context, with explanation, across Days 10 and 13. The webinar follow-up emails reinforce the same language. The testimonials page uses Zones of Resilience, Critter Brain, and Core Wounds correctly in client quotes. The Apply page, Book Call page, Application Success page, and Your Next Step page use none of these terms. The Apply page uses generic phrasing at every stage: "your relationship right now," "biggest challenge," "where do you want to go." Framework anchors are absent.</w:t>
      </w:r>
    </w:p>
    <w:p>
      <w:pPr>
        <w:spacing w:before="0" w:after="200"/>
      </w:pPr>
      <w:r>
        <w:rPr>
          <w:rFonts w:ascii="Arial" w:hAnsi="Arial"/>
          <w:b/>
          <w:i w:val="0"/>
          <w:color w:val="1191B1"/>
          <w:sz w:val="22"/>
        </w:rPr>
        <w:t xml:space="preserve">Impact: </w:t>
      </w:r>
      <w:r>
        <w:rPr>
          <w:rFonts w:ascii="Arial" w:hAnsi="Arial"/>
          <w:b w:val="0"/>
          <w:i w:val="0"/>
          <w:color w:val="171717"/>
          <w:sz w:val="22"/>
        </w:rPr>
        <w:t>Prospects arrive at the Apply page after reading bridge emails. They expect familiar framework language. Generic phrasing breaks narrative continuity at the exact moment a prospect decides whether to take action. A targeted insertion of framework language — at Step 2, 3, and 4 headings on the Apply page — closes this gap without requiring a page rewrite.</w:t>
      </w:r>
      <w:r>
        <w:rPr>
          <w:rFonts w:ascii="Arial" w:hAnsi="Arial"/>
          <w:b w:val="0"/>
          <w:i w:val="0"/>
          <w:color w:val="171717"/>
          <w:sz w:val="22"/>
        </w:rPr>
        <w:t>Prospects arrive at the Apply page after reading bridge emails. They expect familiar framework language. Generic phrasing breaks narrative continuity at the exact moment a prospect decides whether to take action. A targeted insertion of framework language — at Step 2, 3, and 4 headings on the Apply page — closes this gap without requiring a page rewrite.</w:t>
      </w:r>
    </w:p>
    <w:p>
      <w:pPr>
        <w:spacing w:before="160" w:after="160"/>
        <w:pBdr>
          <w:bottom w:val="single" w:sz="2" w:space="0" w:color="7CC7D9"/>
        </w:pBdr>
      </w:pPr>
    </w:p>
    <w:p>
      <w:pPr>
        <w:pStyle w:val="Heading2"/>
        <w:spacing w:before="280" w:after="120"/>
      </w:pPr>
      <w:r>
        <w:rPr>
          <w:rFonts w:ascii="Arial" w:hAnsi="Arial"/>
          <w:b/>
          <w:color w:val="B96A5F"/>
          <w:sz w:val="28"/>
        </w:rPr>
        <w:t>Finding 3: Form Error Messages and Validation Text Break Voice</w:t>
      </w:r>
    </w:p>
    <w:p>
      <w:pPr>
        <w:spacing w:before="0" w:after="200"/>
      </w:pPr>
      <w:r>
        <w:rPr>
          <w:rFonts w:ascii="Arial" w:hAnsi="Arial"/>
          <w:b/>
          <w:i w:val="0"/>
          <w:color w:val="1191B1"/>
          <w:sz w:val="22"/>
        </w:rPr>
        <w:t xml:space="preserve">Severity: </w:t>
      </w:r>
      <w:r>
        <w:rPr>
          <w:rFonts w:ascii="Arial" w:hAnsi="Arial"/>
          <w:b w:val="0"/>
          <w:i w:val="0"/>
          <w:color w:val="171717"/>
          <w:sz w:val="22"/>
        </w:rPr>
        <w:t>High</w:t>
      </w:r>
      <w:r>
        <w:rPr>
          <w:rFonts w:ascii="Arial" w:hAnsi="Arial"/>
          <w:b w:val="0"/>
          <w:i w:val="0"/>
          <w:color w:val="171717"/>
          <w:sz w:val="22"/>
        </w:rPr>
        <w:t>High</w:t>
      </w:r>
    </w:p>
    <w:p>
      <w:pPr>
        <w:spacing w:before="0" w:after="200"/>
      </w:pPr>
      <w:r>
        <w:rPr>
          <w:rFonts w:ascii="Arial" w:hAnsi="Arial"/>
          <w:b/>
          <w:i w:val="0"/>
          <w:color w:val="1191B1"/>
          <w:sz w:val="22"/>
        </w:rPr>
        <w:t xml:space="preserve">Observation: </w:t>
      </w:r>
      <w:r>
        <w:rPr>
          <w:rFonts w:ascii="Arial" w:hAnsi="Arial"/>
          <w:b w:val="0"/>
          <w:i w:val="0"/>
          <w:color w:val="171717"/>
          <w:sz w:val="22"/>
        </w:rPr>
        <w:t>Apply page validation errors are generic system defaults: "Name is required." "Email is required." "Please enter a valid email address." "Please describe your biggest challenge." "Something went wrong. Please try again." The webinar registration page uses the same pattern. The contrast is notable: field placeholders on the Apply page are warm and inviting ("Be as open as you're comfortable being..."). Error and fallback states are cold.</w:t>
      </w:r>
      <w:r>
        <w:rPr>
          <w:rFonts w:ascii="Arial" w:hAnsi="Arial"/>
          <w:b w:val="0"/>
          <w:i w:val="0"/>
          <w:color w:val="171717"/>
          <w:sz w:val="22"/>
        </w:rPr>
        <w:t>Apply page validation errors are generic system defaults: "Name is required." "Email is required." "Please enter a valid email address." "Please describe your biggest challenge." "Something went wrong. Please try again." The webinar registration page uses the same pattern. The contrast is notable: field placeholders on the Apply page are warm and inviting ("Be as open as you're comfortable being..."). Error and fallback states are cold.</w:t>
      </w:r>
    </w:p>
    <w:p>
      <w:pPr>
        <w:spacing w:before="0" w:after="200"/>
      </w:pPr>
      <w:r>
        <w:rPr>
          <w:rFonts w:ascii="Arial" w:hAnsi="Arial"/>
          <w:b/>
          <w:i w:val="0"/>
          <w:color w:val="1191B1"/>
          <w:sz w:val="22"/>
        </w:rPr>
        <w:t xml:space="preserve">Impact: </w:t>
      </w:r>
      <w:r>
        <w:rPr>
          <w:rFonts w:ascii="Arial" w:hAnsi="Arial"/>
          <w:b w:val="0"/>
          <w:i w:val="0"/>
          <w:color w:val="171717"/>
          <w:sz w:val="22"/>
        </w:rPr>
        <w:t>A prospect completing a five-step application is in an emotionally significant moment. They are sharing their relationship struggles with strangers. A generic error message at that moment breaks the trust built by the field copy around it. Rewriting these messages to match brand voice is a low-effort change with direct UX impact.</w:t>
      </w:r>
      <w:r>
        <w:rPr>
          <w:rFonts w:ascii="Arial" w:hAnsi="Arial"/>
          <w:b w:val="0"/>
          <w:i w:val="0"/>
          <w:color w:val="171717"/>
          <w:sz w:val="22"/>
        </w:rPr>
        <w:t>A prospect completing a five-step application is in an emotionally significant moment. They are sharing their relationship struggles with strangers. A generic error message at that moment breaks the trust built by the field copy around it. Rewriting these messages to match brand voice is a low-effort change with direct UX impact.</w:t>
      </w:r>
    </w:p>
    <w:p>
      <w:pPr>
        <w:pStyle w:val="Heading2"/>
        <w:spacing w:before="280" w:after="120"/>
      </w:pPr>
      <w:r>
        <w:rPr>
          <w:rFonts w:ascii="Arial" w:hAnsi="Arial"/>
          <w:b/>
          <w:color w:val="B96A5F"/>
          <w:sz w:val="28"/>
        </w:rPr>
        <w:t>Finding 4: Webinar Registration Page Has Three States With Uneven Copy Quality</w:t>
      </w:r>
    </w:p>
    <w:p>
      <w:pPr>
        <w:spacing w:before="0" w:after="200"/>
      </w:pPr>
      <w:r>
        <w:rPr>
          <w:rFonts w:ascii="Arial" w:hAnsi="Arial"/>
          <w:b/>
          <w:i w:val="0"/>
          <w:color w:val="1191B1"/>
          <w:sz w:val="22"/>
        </w:rPr>
        <w:t xml:space="preserve">Severity: </w:t>
      </w:r>
      <w:r>
        <w:rPr>
          <w:rFonts w:ascii="Arial" w:hAnsi="Arial"/>
          <w:b w:val="0"/>
          <w:i w:val="0"/>
          <w:color w:val="171717"/>
          <w:sz w:val="22"/>
        </w:rPr>
        <w:t>Medium</w:t>
      </w:r>
      <w:r>
        <w:rPr>
          <w:rFonts w:ascii="Arial" w:hAnsi="Arial"/>
          <w:b w:val="0"/>
          <w:i w:val="0"/>
          <w:color w:val="171717"/>
          <w:sz w:val="22"/>
        </w:rPr>
        <w:t>Medium</w:t>
      </w:r>
    </w:p>
    <w:p>
      <w:pPr>
        <w:spacing w:before="0" w:after="200"/>
      </w:pPr>
      <w:r>
        <w:rPr>
          <w:rFonts w:ascii="Arial" w:hAnsi="Arial"/>
          <w:b/>
          <w:i w:val="0"/>
          <w:color w:val="1191B1"/>
          <w:sz w:val="22"/>
        </w:rPr>
        <w:t xml:space="preserve">Observation: </w:t>
      </w:r>
      <w:r>
        <w:rPr>
          <w:rFonts w:ascii="Arial" w:hAnsi="Arial"/>
          <w:b w:val="0"/>
          <w:i w:val="0"/>
          <w:color w:val="171717"/>
          <w:sz w:val="22"/>
        </w:rPr>
        <w:t>The webinar registration page has three distinct states. State 1 (upcoming webinar available) is strong and polished — the trust signals, the "What You'll Learn" bullets, and the FAQ section are all well-executed. State 3 (no webinar at all) is thin. The heading reads "Live Workshops Coming Soon." The body reads: "Jeff and Trisha are preparing something special. Be the first to know when our next live workshop is announced." The waitlist form in State 3 asks only for an email address — the name field present in States 1 and 2 is absent, removing personalization from the most common between-cohort state.</w:t>
      </w:r>
      <w:r>
        <w:rPr>
          <w:rFonts w:ascii="Arial" w:hAnsi="Arial"/>
          <w:b w:val="0"/>
          <w:i w:val="0"/>
          <w:color w:val="171717"/>
          <w:sz w:val="22"/>
        </w:rPr>
        <w:t>The webinar registration page has three distinct states. State 1 (upcoming webinar available) is strong and polished — the trust signals, the "What You'll Learn" bullets, and the FAQ section are all well-executed. State 3 (no webinar at all) is thin. The heading reads "Live Workshops Coming Soon." The body reads: "Jeff and Trisha are preparing something special. Be the first to know when our next live workshop is announced." The waitlist form in State 3 asks only for an email address — the name field present in States 1 and 2 is absent, removing personalization from the most common between-cohort state.</w:t>
      </w:r>
    </w:p>
    <w:p>
      <w:pPr>
        <w:spacing w:before="0" w:after="200"/>
      </w:pPr>
      <w:r>
        <w:rPr>
          <w:rFonts w:ascii="Arial" w:hAnsi="Arial"/>
          <w:b/>
          <w:i w:val="0"/>
          <w:color w:val="1191B1"/>
          <w:sz w:val="22"/>
        </w:rPr>
        <w:t xml:space="preserve">Impact: </w:t>
      </w:r>
      <w:r>
        <w:rPr>
          <w:rFonts w:ascii="Arial" w:hAnsi="Arial"/>
          <w:b w:val="0"/>
          <w:i w:val="0"/>
          <w:color w:val="171717"/>
          <w:sz w:val="22"/>
        </w:rPr>
        <w:t>State 3 is likely the most common state prospects encounter between cohorts. It does the long-term list-building work. Under-investing in that state means lower waitlist conversion rates and less personalized follow-up when the next cohort opens.</w:t>
      </w:r>
      <w:r>
        <w:rPr>
          <w:rFonts w:ascii="Arial" w:hAnsi="Arial"/>
          <w:b w:val="0"/>
          <w:i w:val="0"/>
          <w:color w:val="171717"/>
          <w:sz w:val="22"/>
        </w:rPr>
        <w:t>State 3 is likely the most common state prospects encounter between cohorts. It does the long-term list-building work. Under-investing in that state means lower waitlist conversion rates and less personalized follow-up when the next cohort opens.</w:t>
      </w:r>
    </w:p>
    <w:p>
      <w:pPr>
        <w:pStyle w:val="Heading2"/>
        <w:spacing w:before="280" w:after="120"/>
      </w:pPr>
      <w:r>
        <w:rPr>
          <w:rFonts w:ascii="Arial" w:hAnsi="Arial"/>
          <w:b/>
          <w:color w:val="B96A5F"/>
          <w:sz w:val="28"/>
        </w:rPr>
        <w:t>Finding 5: Day 7 Close Email Contains an Unresolved Process Dependency</w:t>
      </w:r>
    </w:p>
    <w:p>
      <w:pPr>
        <w:spacing w:before="0" w:after="200"/>
      </w:pPr>
      <w:r>
        <w:rPr>
          <w:rFonts w:ascii="Arial" w:hAnsi="Arial"/>
          <w:b/>
          <w:i w:val="0"/>
          <w:color w:val="1191B1"/>
          <w:sz w:val="22"/>
        </w:rPr>
        <w:t xml:space="preserve">Severity: </w:t>
      </w:r>
      <w:r>
        <w:rPr>
          <w:rFonts w:ascii="Arial" w:hAnsi="Arial"/>
          <w:b w:val="0"/>
          <w:i w:val="0"/>
          <w:color w:val="171717"/>
          <w:sz w:val="22"/>
        </w:rPr>
        <w:t>Medium</w:t>
      </w:r>
      <w:r>
        <w:rPr>
          <w:rFonts w:ascii="Arial" w:hAnsi="Arial"/>
          <w:b w:val="0"/>
          <w:i w:val="0"/>
          <w:color w:val="171717"/>
          <w:sz w:val="22"/>
        </w:rPr>
        <w:t>Medium</w:t>
      </w:r>
    </w:p>
    <w:p>
      <w:pPr>
        <w:spacing w:before="0" w:after="200"/>
      </w:pPr>
      <w:r>
        <w:rPr>
          <w:rFonts w:ascii="Arial" w:hAnsi="Arial"/>
          <w:b/>
          <w:i w:val="0"/>
          <w:color w:val="1191B1"/>
          <w:sz w:val="22"/>
        </w:rPr>
        <w:t xml:space="preserve">Observation: </w:t>
      </w:r>
      <w:r>
        <w:rPr>
          <w:rFonts w:ascii="Arial" w:hAnsi="Arial"/>
          <w:b w:val="0"/>
          <w:i w:val="0"/>
          <w:color w:val="171717"/>
          <w:sz w:val="22"/>
        </w:rPr>
        <w:t>The Makayla close SOP Day 7 email contains an inline decision instruction: "[CHOOSE ONE based on Trisha's brief about their key challenge:]" followed by three conditional copy blocks, one each for conflict, disconnection, and communication. This requires Makayla to have received a debrief from Trisha before the email goes out. The SOP does not document the debrief handoff process — what format the brief takes, when it is delivered, or what happens if it is not received in time.</w:t>
      </w:r>
      <w:r>
        <w:rPr>
          <w:rFonts w:ascii="Arial" w:hAnsi="Arial"/>
          <w:b w:val="0"/>
          <w:i w:val="0"/>
          <w:color w:val="171717"/>
          <w:sz w:val="22"/>
        </w:rPr>
        <w:t>The Makayla close SOP Day 7 email contains an inline decision instruction: "[CHOOSE ONE based on Trisha's brief about their key challenge:]" followed by three conditional copy blocks, one each for conflict, disconnection, and communication. This requires Makayla to have received a debrief from Trisha before the email goes out. The SOP does not document the debrief handoff process — what format the brief takes, when it is delivered, or what happens if it is not received in time.</w:t>
      </w:r>
    </w:p>
    <w:p>
      <w:pPr>
        <w:spacing w:before="0" w:after="200"/>
      </w:pPr>
      <w:r>
        <w:rPr>
          <w:rFonts w:ascii="Arial" w:hAnsi="Arial"/>
          <w:b/>
          <w:i w:val="0"/>
          <w:color w:val="1191B1"/>
          <w:sz w:val="22"/>
        </w:rPr>
        <w:t xml:space="preserve">Impact: </w:t>
      </w:r>
      <w:r>
        <w:rPr>
          <w:rFonts w:ascii="Arial" w:hAnsi="Arial"/>
          <w:b w:val="0"/>
          <w:i w:val="0"/>
          <w:color w:val="171717"/>
          <w:sz w:val="22"/>
        </w:rPr>
        <w:t>Day 7 is the highest-leverage moment in the close sequence for warm-but-undecided couples. A content mismatch — sending the disconnection resource to a conflict-focused couple — reduces trust and relevance. This is a process dependency, not a copy problem. The fix is a documented brief protocol, not a rewrite.</w:t>
      </w:r>
      <w:r>
        <w:rPr>
          <w:rFonts w:ascii="Arial" w:hAnsi="Arial"/>
          <w:b w:val="0"/>
          <w:i w:val="0"/>
          <w:color w:val="171717"/>
          <w:sz w:val="22"/>
        </w:rPr>
        <w:t>Day 7 is the highest-leverage moment in the close sequence for warm-but-undecided couples. A content mismatch — sending the disconnection resource to a conflict-focused couple — reduces trust and relevance. This is a process dependency, not a copy problem. The fix is a documented brief protocol, not a rewrite.</w:t>
      </w:r>
    </w:p>
    <w:p>
      <w:pPr>
        <w:pStyle w:val="Heading2"/>
        <w:spacing w:before="280" w:after="120"/>
      </w:pPr>
      <w:r>
        <w:rPr>
          <w:rFonts w:ascii="Arial" w:hAnsi="Arial"/>
          <w:b/>
          <w:color w:val="B96A5F"/>
          <w:sz w:val="28"/>
        </w:rPr>
        <w:t>Finding 6: "Your Next Step" Page Is Underutilized</w:t>
      </w:r>
    </w:p>
    <w:p>
      <w:pPr>
        <w:spacing w:before="0" w:after="200"/>
      </w:pPr>
      <w:r>
        <w:rPr>
          <w:rFonts w:ascii="Arial" w:hAnsi="Arial"/>
          <w:b/>
          <w:i w:val="0"/>
          <w:color w:val="1191B1"/>
          <w:sz w:val="22"/>
        </w:rPr>
        <w:t xml:space="preserve">Severity: </w:t>
      </w:r>
      <w:r>
        <w:rPr>
          <w:rFonts w:ascii="Arial" w:hAnsi="Arial"/>
          <w:b w:val="0"/>
          <w:i w:val="0"/>
          <w:color w:val="171717"/>
          <w:sz w:val="22"/>
        </w:rPr>
        <w:t>Medium</w:t>
      </w:r>
      <w:r>
        <w:rPr>
          <w:rFonts w:ascii="Arial" w:hAnsi="Arial"/>
          <w:b w:val="0"/>
          <w:i w:val="0"/>
          <w:color w:val="171717"/>
          <w:sz w:val="22"/>
        </w:rPr>
        <w:t>Medium</w:t>
      </w:r>
    </w:p>
    <w:p>
      <w:pPr>
        <w:spacing w:before="0" w:after="200"/>
      </w:pPr>
      <w:r>
        <w:rPr>
          <w:rFonts w:ascii="Arial" w:hAnsi="Arial"/>
          <w:b/>
          <w:i w:val="0"/>
          <w:color w:val="1191B1"/>
          <w:sz w:val="22"/>
        </w:rPr>
        <w:t xml:space="preserve">Observation: </w:t>
      </w:r>
      <w:r>
        <w:rPr>
          <w:rFonts w:ascii="Arial" w:hAnsi="Arial"/>
          <w:b w:val="0"/>
          <w:i w:val="0"/>
          <w:color w:val="171717"/>
          <w:sz w:val="22"/>
        </w:rPr>
        <w:t>The Your Next Step page (ComingSoon.jsx) has two short paragraphs, two CTA buttons, and one supporting link. It uses no proprietary framework language and no social proof. By contrast, the testimonials page and webinar replay page both demonstrate that mid-funnel pages can carry narrative weight. The Your Next Step page receives email CTA traffic and internal navigation traffic. Its current copy is routing-functional but not persuasion-capable.</w:t>
      </w:r>
      <w:r>
        <w:rPr>
          <w:rFonts w:ascii="Arial" w:hAnsi="Arial"/>
          <w:b w:val="0"/>
          <w:i w:val="0"/>
          <w:color w:val="171717"/>
          <w:sz w:val="22"/>
        </w:rPr>
        <w:t>The Your Next Step page (ComingSoon.jsx) has two short paragraphs, two CTA buttons, and one supporting link. It uses no proprietary framework language and no social proof. By contrast, the testimonials page and webinar replay page both demonstrate that mid-funnel pages can carry narrative weight. The Your Next Step page receives email CTA traffic and internal navigation traffic. Its current copy is routing-functional but not persuasion-capable.</w:t>
      </w:r>
    </w:p>
    <w:p>
      <w:pPr>
        <w:spacing w:before="0" w:after="200"/>
      </w:pPr>
      <w:r>
        <w:rPr>
          <w:rFonts w:ascii="Arial" w:hAnsi="Arial"/>
          <w:b/>
          <w:i w:val="0"/>
          <w:color w:val="1191B1"/>
          <w:sz w:val="22"/>
        </w:rPr>
        <w:t xml:space="preserve">Impact: </w:t>
      </w:r>
      <w:r>
        <w:rPr>
          <w:rFonts w:ascii="Arial" w:hAnsi="Arial"/>
          <w:b w:val="0"/>
          <w:i w:val="0"/>
          <w:color w:val="171717"/>
          <w:sz w:val="22"/>
        </w:rPr>
        <w:t>This page sits at a decision point in the funnel. Prospects who are not ready to apply directly are routed here. A single well-chosen testimonial and a single framework reference would increase the page's ability to hold attention and drive progression to the Apply page.</w:t>
      </w:r>
      <w:r>
        <w:rPr>
          <w:rFonts w:ascii="Arial" w:hAnsi="Arial"/>
          <w:b w:val="0"/>
          <w:i w:val="0"/>
          <w:color w:val="171717"/>
          <w:sz w:val="22"/>
        </w:rPr>
        <w:t>This page sits at a decision point in the funnel. Prospects who are not ready to apply directly are routed here. A single well-chosen testimonial and a single framework reference would increase the page's ability to hold attention and drive progression to the Apply page.</w:t>
      </w:r>
    </w:p>
    <w:p>
      <w:pPr>
        <w:pStyle w:val="Heading2"/>
        <w:spacing w:before="280" w:after="120"/>
      </w:pPr>
      <w:r>
        <w:rPr>
          <w:rFonts w:ascii="Arial" w:hAnsi="Arial"/>
          <w:b/>
          <w:color w:val="B96A5F"/>
          <w:sz w:val="28"/>
        </w:rPr>
        <w:t>Finding 7: Application Email References a /resources URL That May Not Exist</w:t>
      </w:r>
    </w:p>
    <w:p>
      <w:pPr>
        <w:spacing w:before="0" w:after="200"/>
      </w:pPr>
      <w:r>
        <w:rPr>
          <w:rFonts w:ascii="Arial" w:hAnsi="Arial"/>
          <w:b/>
          <w:i w:val="0"/>
          <w:color w:val="1191B1"/>
          <w:sz w:val="22"/>
        </w:rPr>
        <w:t xml:space="preserve">Severity: </w:t>
      </w:r>
      <w:r>
        <w:rPr>
          <w:rFonts w:ascii="Arial" w:hAnsi="Arial"/>
          <w:b w:val="0"/>
          <w:i w:val="0"/>
          <w:color w:val="171717"/>
          <w:sz w:val="22"/>
        </w:rPr>
        <w:t>Low</w:t>
      </w:r>
      <w:r>
        <w:rPr>
          <w:rFonts w:ascii="Arial" w:hAnsi="Arial"/>
          <w:b w:val="0"/>
          <w:i w:val="0"/>
          <w:color w:val="171717"/>
          <w:sz w:val="22"/>
        </w:rPr>
        <w:t>Low</w:t>
      </w:r>
    </w:p>
    <w:p>
      <w:pPr>
        <w:spacing w:before="0" w:after="200"/>
      </w:pPr>
      <w:r>
        <w:rPr>
          <w:rFonts w:ascii="Arial" w:hAnsi="Arial"/>
          <w:b/>
          <w:i w:val="0"/>
          <w:color w:val="1191B1"/>
          <w:sz w:val="22"/>
        </w:rPr>
        <w:t xml:space="preserve">Observation: </w:t>
      </w:r>
      <w:r>
        <w:rPr>
          <w:rFonts w:ascii="Arial" w:hAnsi="Arial"/>
          <w:b w:val="0"/>
          <w:i w:val="0"/>
          <w:color w:val="171717"/>
          <w:sz w:val="22"/>
        </w:rPr>
        <w:t>The application-received email (sent immediately after form submission) includes a CTA: "Explore Free Resources → healingheartscourse.com/resources." The /resources URL is not present in the audited source files. No corresponding page appears in the site architecture review.</w:t>
      </w:r>
      <w:r>
        <w:rPr>
          <w:rFonts w:ascii="Arial" w:hAnsi="Arial"/>
          <w:b w:val="0"/>
          <w:i w:val="0"/>
          <w:color w:val="171717"/>
          <w:sz w:val="22"/>
        </w:rPr>
        <w:t>The application-received email (sent immediately after form submission) includes a CTA: "Explore Free Resources → healingheartscourse.com/resources." The /resources URL is not present in the audited source files. No corresponding page appears in the site architecture review.</w:t>
      </w:r>
    </w:p>
    <w:p>
      <w:pPr>
        <w:spacing w:before="0" w:after="200"/>
      </w:pPr>
      <w:r>
        <w:rPr>
          <w:rFonts w:ascii="Arial" w:hAnsi="Arial"/>
          <w:b/>
          <w:i w:val="0"/>
          <w:color w:val="1191B1"/>
          <w:sz w:val="22"/>
        </w:rPr>
        <w:t xml:space="preserve">Impact: </w:t>
      </w:r>
      <w:r>
        <w:rPr>
          <w:rFonts w:ascii="Arial" w:hAnsi="Arial"/>
          <w:b w:val="0"/>
          <w:i w:val="0"/>
          <w:color w:val="171717"/>
          <w:sz w:val="22"/>
        </w:rPr>
        <w:t>An applicant who clicks that CTA immediately after submitting their application — their highest-trust moment in the entire funnel — hits a dead end. The severity is Low because it is a single touch point. The timing makes it sensitive.</w:t>
      </w:r>
      <w:r>
        <w:rPr>
          <w:rFonts w:ascii="Arial" w:hAnsi="Arial"/>
          <w:b w:val="0"/>
          <w:i w:val="0"/>
          <w:color w:val="171717"/>
          <w:sz w:val="22"/>
        </w:rPr>
        <w:t>An applicant who clicks that CTA immediately after submitting their application — their highest-trust moment in the entire funnel — hits a dead end. The severity is Low because it is a single touch point. The timing makes it sensitive.</w:t>
      </w:r>
    </w:p>
    <w:p>
      <w:pPr>
        <w:pStyle w:val="Heading2"/>
        <w:spacing w:before="280" w:after="120"/>
      </w:pPr>
      <w:r>
        <w:rPr>
          <w:rFonts w:ascii="Arial" w:hAnsi="Arial"/>
          <w:b/>
          <w:color w:val="B96A5F"/>
          <w:sz w:val="28"/>
        </w:rPr>
        <w:t>Finding 8: Duplicate Subject Line Across Bridge and Webinar Sequences</w:t>
      </w:r>
    </w:p>
    <w:p>
      <w:pPr>
        <w:spacing w:before="0" w:after="200"/>
      </w:pPr>
      <w:r>
        <w:rPr>
          <w:rFonts w:ascii="Arial" w:hAnsi="Arial"/>
          <w:b/>
          <w:i w:val="0"/>
          <w:color w:val="1191B1"/>
          <w:sz w:val="22"/>
        </w:rPr>
        <w:t xml:space="preserve">Severity: </w:t>
      </w:r>
      <w:r>
        <w:rPr>
          <w:rFonts w:ascii="Arial" w:hAnsi="Arial"/>
          <w:b w:val="0"/>
          <w:i w:val="0"/>
          <w:color w:val="171717"/>
          <w:sz w:val="22"/>
        </w:rPr>
        <w:t>Low</w:t>
      </w:r>
      <w:r>
        <w:rPr>
          <w:rFonts w:ascii="Arial" w:hAnsi="Arial"/>
          <w:b w:val="0"/>
          <w:i w:val="0"/>
          <w:color w:val="171717"/>
          <w:sz w:val="22"/>
        </w:rPr>
        <w:t>Low</w:t>
      </w:r>
    </w:p>
    <w:p>
      <w:pPr>
        <w:spacing w:before="0" w:after="200"/>
      </w:pPr>
      <w:r>
        <w:rPr>
          <w:rFonts w:ascii="Arial" w:hAnsi="Arial"/>
          <w:b/>
          <w:i w:val="0"/>
          <w:color w:val="1191B1"/>
          <w:sz w:val="22"/>
        </w:rPr>
        <w:t xml:space="preserve">Observation: </w:t>
      </w:r>
      <w:r>
        <w:rPr>
          <w:rFonts w:ascii="Arial" w:hAnsi="Arial"/>
          <w:b w:val="0"/>
          <w:i w:val="0"/>
          <w:color w:val="171717"/>
          <w:sz w:val="22"/>
        </w:rPr>
        <w:t>Bridge Day 13 (spark-day-13.js) and Webinar Follow-Up 2 (webinar-followup-2.js) both use the subject line "What happened after they said yes." The stories inside are different — Bridge Day 13 tells Michelle and Ryan's story; Webinar Follow-Up 2 tells Marcus and Eliana's story. Prospects who completed the Spark Challenge and then registered for a webinar will see the same subject line twice in their inbox.</w:t>
      </w:r>
      <w:r>
        <w:rPr>
          <w:rFonts w:ascii="Arial" w:hAnsi="Arial"/>
          <w:b w:val="0"/>
          <w:i w:val="0"/>
          <w:color w:val="171717"/>
          <w:sz w:val="22"/>
        </w:rPr>
        <w:t>Bridge Day 13 (spark-day-13.js) and Webinar Follow-Up 2 (webinar-followup-2.js) both use the subject line "What happened after they said yes." The stories inside are different — Bridge Day 13 tells Michelle and Ryan's story; Webinar Follow-Up 2 tells Marcus and Eliana's story. Prospects who completed the Spark Challenge and then registered for a webinar will see the same subject line twice in their inbox.</w:t>
      </w:r>
    </w:p>
    <w:p>
      <w:pPr>
        <w:spacing w:before="0" w:after="200"/>
      </w:pPr>
      <w:r>
        <w:rPr>
          <w:rFonts w:ascii="Arial" w:hAnsi="Arial"/>
          <w:b/>
          <w:i w:val="0"/>
          <w:color w:val="1191B1"/>
          <w:sz w:val="22"/>
        </w:rPr>
        <w:t xml:space="preserve">Impact: </w:t>
      </w:r>
      <w:r>
        <w:rPr>
          <w:rFonts w:ascii="Arial" w:hAnsi="Arial"/>
          <w:b w:val="0"/>
          <w:i w:val="0"/>
          <w:color w:val="171717"/>
          <w:sz w:val="22"/>
        </w:rPr>
        <w:t>Low risk for most subscribers. Jarring for engaged prospects on both lists. A two-minute subject line change on one email eliminates the issue entirely.</w:t>
      </w:r>
      <w:r>
        <w:rPr>
          <w:rFonts w:ascii="Arial" w:hAnsi="Arial"/>
          <w:b w:val="0"/>
          <w:i w:val="0"/>
          <w:color w:val="171717"/>
          <w:sz w:val="22"/>
        </w:rPr>
        <w:t>Low risk for most subscribers. Jarring for engaged prospects on both lists. A two-minute subject line change on one email eliminates the issue entirely.</w:t>
      </w:r>
    </w:p>
    <w:p>
      <w:r>
        <w:br w:type="page"/>
      </w:r>
    </w:p>
    <w:p>
      <w:pPr>
        <w:pStyle w:val="Heading1"/>
        <w:spacing w:before="320" w:after="160"/>
        <w:pBdr>
          <w:bottom w:val="single" w:sz="4" w:space="4" w:color="1191B1"/>
        </w:pBdr>
      </w:pPr>
      <w:r>
        <w:rPr>
          <w:rFonts w:ascii="Cormorant Garamond" w:hAnsi="Cormorant Garamond"/>
          <w:b/>
          <w:color w:val="1191B1"/>
          <w:sz w:val="40"/>
        </w:rPr>
        <w:t>Recommendations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191B1" w:val="clear"/>
          </w:tcPr>
          <w:p>
            <w:r>
              <w:rPr>
                <w:rFonts w:ascii="Arial" w:hAnsi="Arial"/>
                <w:b/>
                <w:color w:val="FFFFFF"/>
                <w:sz w:val="20"/>
              </w:rPr>
              <w:t>Priority</w:t>
            </w:r>
          </w:p>
        </w:tc>
        <w:tc>
          <w:tcPr>
            <w:tcW w:type="dxa" w:w="1872"/>
            <w:shd w:fill="1191B1" w:val="clear"/>
          </w:tcPr>
          <w:p>
            <w:r>
              <w:rPr>
                <w:rFonts w:ascii="Arial" w:hAnsi="Arial"/>
                <w:b/>
                <w:color w:val="FFFFFF"/>
                <w:sz w:val="20"/>
              </w:rPr>
              <w:t>Recommendation</w:t>
            </w:r>
          </w:p>
        </w:tc>
        <w:tc>
          <w:tcPr>
            <w:tcW w:type="dxa" w:w="1872"/>
            <w:shd w:fill="1191B1" w:val="clear"/>
          </w:tcPr>
          <w:p>
            <w:r>
              <w:rPr>
                <w:rFonts w:ascii="Arial" w:hAnsi="Arial"/>
                <w:b/>
                <w:color w:val="FFFFFF"/>
                <w:sz w:val="20"/>
              </w:rPr>
              <w:t>Rationale / Finding</w:t>
            </w:r>
          </w:p>
        </w:tc>
        <w:tc>
          <w:tcPr>
            <w:tcW w:type="dxa" w:w="1872"/>
            <w:shd w:fill="1191B1" w:val="clear"/>
          </w:tcPr>
          <w:p>
            <w:r>
              <w:rPr>
                <w:rFonts w:ascii="Arial" w:hAnsi="Arial"/>
                <w:b/>
                <w:color w:val="FFFFFF"/>
                <w:sz w:val="20"/>
              </w:rPr>
              <w:t>Suggested Owner</w:t>
            </w:r>
          </w:p>
        </w:tc>
        <w:tc>
          <w:tcPr>
            <w:tcW w:type="dxa" w:w="1872"/>
            <w:shd w:fill="1191B1" w:val="clear"/>
          </w:tcPr>
          <w:p>
            <w:r>
              <w:rPr>
                <w:rFonts w:ascii="Arial" w:hAnsi="Arial"/>
                <w:b/>
                <w:color w:val="FFFFFF"/>
                <w:sz w:val="20"/>
              </w:rPr>
              <w:t>Timeline</w:t>
            </w:r>
          </w:p>
        </w:tc>
      </w:tr>
      <w:tr>
        <w:tc>
          <w:tcPr>
            <w:tcW w:type="dxa" w:w="1872"/>
          </w:tcPr>
          <w:p>
            <w:r>
              <w:rPr>
                <w:rFonts w:ascii="Arial" w:hAnsi="Arial"/>
                <w:color w:val="171717"/>
                <w:sz w:val="20"/>
              </w:rPr>
              <w:t>1</w:t>
            </w:r>
          </w:p>
        </w:tc>
        <w:tc>
          <w:tcPr>
            <w:tcW w:type="dxa" w:w="1872"/>
          </w:tcPr>
          <w:p>
            <w:r>
              <w:rPr>
                <w:rFonts w:ascii="Arial" w:hAnsi="Arial"/>
                <w:color w:val="171717"/>
                <w:sz w:val="20"/>
              </w:rPr>
              <w:t>Build the conference landing page</w:t>
            </w:r>
          </w:p>
        </w:tc>
        <w:tc>
          <w:tcPr>
            <w:tcW w:type="dxa" w:w="1872"/>
          </w:tcPr>
          <w:p>
            <w:r>
              <w:rPr>
                <w:rFonts w:ascii="Arial" w:hAnsi="Arial"/>
                <w:color w:val="171717"/>
                <w:sz w:val="20"/>
              </w:rPr>
              <w:t>Missing asset, hard 22-day deadline. Finding 1.</w:t>
            </w:r>
          </w:p>
        </w:tc>
        <w:tc>
          <w:tcPr>
            <w:tcW w:type="dxa" w:w="1872"/>
          </w:tcPr>
          <w:p>
            <w:r>
              <w:rPr>
                <w:rFonts w:ascii="Arial" w:hAnsi="Arial"/>
                <w:color w:val="171717"/>
                <w:sz w:val="20"/>
              </w:rPr>
              <w:t>Chase (build) + Trisha (copy)</w:t>
            </w:r>
          </w:p>
        </w:tc>
        <w:tc>
          <w:tcPr>
            <w:tcW w:type="dxa" w:w="1872"/>
          </w:tcPr>
          <w:p>
            <w:r>
              <w:rPr>
                <w:rFonts w:ascii="Arial" w:hAnsi="Arial"/>
                <w:color w:val="171717"/>
                <w:sz w:val="20"/>
              </w:rPr>
              <w:t>Before April 10</w:t>
            </w:r>
          </w:p>
        </w:tc>
      </w:tr>
      <w:tr>
        <w:tc>
          <w:tcPr>
            <w:tcW w:type="dxa" w:w="1872"/>
          </w:tcPr>
          <w:p>
            <w:r>
              <w:rPr>
                <w:rFonts w:ascii="Arial" w:hAnsi="Arial"/>
                <w:color w:val="171717"/>
                <w:sz w:val="20"/>
              </w:rPr>
              <w:t>2</w:t>
            </w:r>
          </w:p>
        </w:tc>
        <w:tc>
          <w:tcPr>
            <w:tcW w:type="dxa" w:w="1872"/>
          </w:tcPr>
          <w:p>
            <w:r>
              <w:rPr>
                <w:rFonts w:ascii="Arial" w:hAnsi="Arial"/>
                <w:color w:val="171717"/>
                <w:sz w:val="20"/>
              </w:rPr>
              <w:t>Insert framework language into Apply page headings and placeholders</w:t>
            </w:r>
          </w:p>
        </w:tc>
        <w:tc>
          <w:tcPr>
            <w:tcW w:type="dxa" w:w="1872"/>
          </w:tcPr>
          <w:p>
            <w:r>
              <w:rPr>
                <w:rFonts w:ascii="Arial" w:hAnsi="Arial"/>
                <w:color w:val="171717"/>
                <w:sz w:val="20"/>
              </w:rPr>
              <w:t>Closes narrative continuity gap. Finding 2.</w:t>
            </w:r>
          </w:p>
        </w:tc>
        <w:tc>
          <w:tcPr>
            <w:tcW w:type="dxa" w:w="1872"/>
          </w:tcPr>
          <w:p>
            <w:r>
              <w:rPr>
                <w:rFonts w:ascii="Arial" w:hAnsi="Arial"/>
                <w:color w:val="171717"/>
                <w:sz w:val="20"/>
              </w:rPr>
              <w:t>Chase (code) + Trisha (copy review)</w:t>
            </w:r>
          </w:p>
        </w:tc>
        <w:tc>
          <w:tcPr>
            <w:tcW w:type="dxa" w:w="1872"/>
          </w:tcPr>
          <w:p>
            <w:r>
              <w:rPr>
                <w:rFonts w:ascii="Arial" w:hAnsi="Arial"/>
                <w:color w:val="171717"/>
                <w:sz w:val="20"/>
              </w:rPr>
              <w:t>This week</w:t>
            </w:r>
          </w:p>
        </w:tc>
      </w:tr>
      <w:tr>
        <w:tc>
          <w:tcPr>
            <w:tcW w:type="dxa" w:w="1872"/>
          </w:tcPr>
          <w:p>
            <w:r>
              <w:rPr>
                <w:rFonts w:ascii="Arial" w:hAnsi="Arial"/>
                <w:color w:val="171717"/>
                <w:sz w:val="20"/>
              </w:rPr>
              <w:t>3</w:t>
            </w:r>
          </w:p>
        </w:tc>
        <w:tc>
          <w:tcPr>
            <w:tcW w:type="dxa" w:w="1872"/>
          </w:tcPr>
          <w:p>
            <w:r>
              <w:rPr>
                <w:rFonts w:ascii="Arial" w:hAnsi="Arial"/>
                <w:color w:val="171717"/>
                <w:sz w:val="20"/>
              </w:rPr>
              <w:t>Rewrite form error and fallback messages to match brand voice</w:t>
            </w:r>
          </w:p>
        </w:tc>
        <w:tc>
          <w:tcPr>
            <w:tcW w:type="dxa" w:w="1872"/>
          </w:tcPr>
          <w:p>
            <w:r>
              <w:rPr>
                <w:rFonts w:ascii="Arial" w:hAnsi="Arial"/>
                <w:color w:val="171717"/>
                <w:sz w:val="20"/>
              </w:rPr>
              <w:t>Low effort, high UX impact. Finding 3.</w:t>
            </w:r>
          </w:p>
        </w:tc>
        <w:tc>
          <w:tcPr>
            <w:tcW w:type="dxa" w:w="1872"/>
          </w:tcPr>
          <w:p>
            <w:r>
              <w:rPr>
                <w:rFonts w:ascii="Arial" w:hAnsi="Arial"/>
                <w:color w:val="171717"/>
                <w:sz w:val="20"/>
              </w:rPr>
              <w:t>Chase</w:t>
            </w:r>
          </w:p>
        </w:tc>
        <w:tc>
          <w:tcPr>
            <w:tcW w:type="dxa" w:w="1872"/>
          </w:tcPr>
          <w:p>
            <w:r>
              <w:rPr>
                <w:rFonts w:ascii="Arial" w:hAnsi="Arial"/>
                <w:color w:val="171717"/>
                <w:sz w:val="20"/>
              </w:rPr>
              <w:t>This week</w:t>
            </w:r>
          </w:p>
        </w:tc>
      </w:tr>
      <w:tr>
        <w:tc>
          <w:tcPr>
            <w:tcW w:type="dxa" w:w="1872"/>
          </w:tcPr>
          <w:p>
            <w:r>
              <w:rPr>
                <w:rFonts w:ascii="Arial" w:hAnsi="Arial"/>
                <w:color w:val="171717"/>
                <w:sz w:val="20"/>
              </w:rPr>
              <w:t>4</w:t>
            </w:r>
          </w:p>
        </w:tc>
        <w:tc>
          <w:tcPr>
            <w:tcW w:type="dxa" w:w="1872"/>
          </w:tcPr>
          <w:p>
            <w:r>
              <w:rPr>
                <w:rFonts w:ascii="Arial" w:hAnsi="Arial"/>
                <w:color w:val="171717"/>
                <w:sz w:val="20"/>
              </w:rPr>
              <w:t>Expand State 3 webinar page copy and add name field to waitlist form</w:t>
            </w:r>
          </w:p>
        </w:tc>
        <w:tc>
          <w:tcPr>
            <w:tcW w:type="dxa" w:w="1872"/>
          </w:tcPr>
          <w:p>
            <w:r>
              <w:rPr>
                <w:rFonts w:ascii="Arial" w:hAnsi="Arial"/>
                <w:color w:val="171717"/>
                <w:sz w:val="20"/>
              </w:rPr>
              <w:t>Improves list-building between cohorts. Finding 4.</w:t>
            </w:r>
          </w:p>
        </w:tc>
        <w:tc>
          <w:tcPr>
            <w:tcW w:type="dxa" w:w="1872"/>
          </w:tcPr>
          <w:p>
            <w:r>
              <w:rPr>
                <w:rFonts w:ascii="Arial" w:hAnsi="Arial"/>
                <w:color w:val="171717"/>
                <w:sz w:val="20"/>
              </w:rPr>
              <w:t>Chase (code) + Trisha (copy)</w:t>
            </w:r>
          </w:p>
        </w:tc>
        <w:tc>
          <w:tcPr>
            <w:tcW w:type="dxa" w:w="1872"/>
          </w:tcPr>
          <w:p>
            <w:r>
              <w:rPr>
                <w:rFonts w:ascii="Arial" w:hAnsi="Arial"/>
                <w:color w:val="171717"/>
                <w:sz w:val="20"/>
              </w:rPr>
              <w:t>Before April 10</w:t>
            </w:r>
          </w:p>
        </w:tc>
      </w:tr>
      <w:tr>
        <w:tc>
          <w:tcPr>
            <w:tcW w:type="dxa" w:w="1872"/>
          </w:tcPr>
          <w:p>
            <w:r>
              <w:rPr>
                <w:rFonts w:ascii="Arial" w:hAnsi="Arial"/>
                <w:color w:val="171717"/>
                <w:sz w:val="20"/>
              </w:rPr>
              <w:t>5</w:t>
            </w:r>
          </w:p>
        </w:tc>
        <w:tc>
          <w:tcPr>
            <w:tcW w:type="dxa" w:w="1872"/>
          </w:tcPr>
          <w:p>
            <w:r>
              <w:rPr>
                <w:rFonts w:ascii="Arial" w:hAnsi="Arial"/>
                <w:color w:val="171717"/>
                <w:sz w:val="20"/>
              </w:rPr>
              <w:t>Document Trisha-to-Makayla brief protocol for Day 7 close email</w:t>
            </w:r>
          </w:p>
        </w:tc>
        <w:tc>
          <w:tcPr>
            <w:tcW w:type="dxa" w:w="1872"/>
          </w:tcPr>
          <w:p>
            <w:r>
              <w:rPr>
                <w:rFonts w:ascii="Arial" w:hAnsi="Arial"/>
                <w:color w:val="171717"/>
                <w:sz w:val="20"/>
              </w:rPr>
              <w:t>Process dependency. Finding 5.</w:t>
            </w:r>
          </w:p>
        </w:tc>
        <w:tc>
          <w:tcPr>
            <w:tcW w:type="dxa" w:w="1872"/>
          </w:tcPr>
          <w:p>
            <w:r>
              <w:rPr>
                <w:rFonts w:ascii="Arial" w:hAnsi="Arial"/>
                <w:color w:val="171717"/>
                <w:sz w:val="20"/>
              </w:rPr>
              <w:t>Makayla + Trisha</w:t>
            </w:r>
          </w:p>
        </w:tc>
        <w:tc>
          <w:tcPr>
            <w:tcW w:type="dxa" w:w="1872"/>
          </w:tcPr>
          <w:p>
            <w:r>
              <w:rPr>
                <w:rFonts w:ascii="Arial" w:hAnsi="Arial"/>
                <w:color w:val="171717"/>
                <w:sz w:val="20"/>
              </w:rPr>
              <w:t>This week</w:t>
            </w:r>
          </w:p>
        </w:tc>
      </w:tr>
      <w:tr>
        <w:tc>
          <w:tcPr>
            <w:tcW w:type="dxa" w:w="1872"/>
          </w:tcPr>
          <w:p>
            <w:r>
              <w:rPr>
                <w:rFonts w:ascii="Arial" w:hAnsi="Arial"/>
                <w:color w:val="171717"/>
                <w:sz w:val="20"/>
              </w:rPr>
              <w:t>6</w:t>
            </w:r>
          </w:p>
        </w:tc>
        <w:tc>
          <w:tcPr>
            <w:tcW w:type="dxa" w:w="1872"/>
          </w:tcPr>
          <w:p>
            <w:r>
              <w:rPr>
                <w:rFonts w:ascii="Arial" w:hAnsi="Arial"/>
                <w:color w:val="171717"/>
                <w:sz w:val="20"/>
              </w:rPr>
              <w:t>Add one testimonial and a framework reference to the Your Next Step page</w:t>
            </w:r>
          </w:p>
        </w:tc>
        <w:tc>
          <w:tcPr>
            <w:tcW w:type="dxa" w:w="1872"/>
          </w:tcPr>
          <w:p>
            <w:r>
              <w:rPr>
                <w:rFonts w:ascii="Arial" w:hAnsi="Arial"/>
                <w:color w:val="171717"/>
                <w:sz w:val="20"/>
              </w:rPr>
              <w:t>Low-effort mid-funnel lift. Finding 6.</w:t>
            </w:r>
          </w:p>
        </w:tc>
        <w:tc>
          <w:tcPr>
            <w:tcW w:type="dxa" w:w="1872"/>
          </w:tcPr>
          <w:p>
            <w:r>
              <w:rPr>
                <w:rFonts w:ascii="Arial" w:hAnsi="Arial"/>
                <w:color w:val="171717"/>
                <w:sz w:val="20"/>
              </w:rPr>
              <w:t>Chase</w:t>
            </w:r>
          </w:p>
        </w:tc>
        <w:tc>
          <w:tcPr>
            <w:tcW w:type="dxa" w:w="1872"/>
          </w:tcPr>
          <w:p>
            <w:r>
              <w:rPr>
                <w:rFonts w:ascii="Arial" w:hAnsi="Arial"/>
                <w:color w:val="171717"/>
                <w:sz w:val="20"/>
              </w:rPr>
              <w:t>Within 2 weeks</w:t>
            </w:r>
          </w:p>
        </w:tc>
      </w:tr>
      <w:tr>
        <w:tc>
          <w:tcPr>
            <w:tcW w:type="dxa" w:w="1872"/>
          </w:tcPr>
          <w:p>
            <w:r>
              <w:rPr>
                <w:rFonts w:ascii="Arial" w:hAnsi="Arial"/>
                <w:color w:val="171717"/>
                <w:sz w:val="20"/>
              </w:rPr>
              <w:t>7</w:t>
            </w:r>
          </w:p>
        </w:tc>
        <w:tc>
          <w:tcPr>
            <w:tcW w:type="dxa" w:w="1872"/>
          </w:tcPr>
          <w:p>
            <w:r>
              <w:rPr>
                <w:rFonts w:ascii="Arial" w:hAnsi="Arial"/>
                <w:color w:val="171717"/>
                <w:sz w:val="20"/>
              </w:rPr>
              <w:t>Verify /resources URL in application-received email</w:t>
            </w:r>
          </w:p>
        </w:tc>
        <w:tc>
          <w:tcPr>
            <w:tcW w:type="dxa" w:w="1872"/>
          </w:tcPr>
          <w:p>
            <w:r>
              <w:rPr>
                <w:rFonts w:ascii="Arial" w:hAnsi="Arial"/>
                <w:color w:val="171717"/>
                <w:sz w:val="20"/>
              </w:rPr>
              <w:t>Prevents dead link at high-trust moment. Finding 7.</w:t>
            </w:r>
          </w:p>
        </w:tc>
        <w:tc>
          <w:tcPr>
            <w:tcW w:type="dxa" w:w="1872"/>
          </w:tcPr>
          <w:p>
            <w:r>
              <w:rPr>
                <w:rFonts w:ascii="Arial" w:hAnsi="Arial"/>
                <w:color w:val="171717"/>
                <w:sz w:val="20"/>
              </w:rPr>
              <w:t>Chase</w:t>
            </w:r>
          </w:p>
        </w:tc>
        <w:tc>
          <w:tcPr>
            <w:tcW w:type="dxa" w:w="1872"/>
          </w:tcPr>
          <w:p>
            <w:r>
              <w:rPr>
                <w:rFonts w:ascii="Arial" w:hAnsi="Arial"/>
                <w:color w:val="171717"/>
                <w:sz w:val="20"/>
              </w:rPr>
              <w:t>This week</w:t>
            </w:r>
          </w:p>
        </w:tc>
      </w:tr>
      <w:tr>
        <w:tc>
          <w:tcPr>
            <w:tcW w:type="dxa" w:w="1872"/>
          </w:tcPr>
          <w:p>
            <w:r>
              <w:rPr>
                <w:rFonts w:ascii="Arial" w:hAnsi="Arial"/>
                <w:color w:val="171717"/>
                <w:sz w:val="20"/>
              </w:rPr>
              <w:t>8</w:t>
            </w:r>
          </w:p>
        </w:tc>
        <w:tc>
          <w:tcPr>
            <w:tcW w:type="dxa" w:w="1872"/>
          </w:tcPr>
          <w:p>
            <w:r>
              <w:rPr>
                <w:rFonts w:ascii="Arial" w:hAnsi="Arial"/>
                <w:color w:val="171717"/>
                <w:sz w:val="20"/>
              </w:rPr>
              <w:t>Differentiate Day 13 bridge email subject from Webinar Follow-Up 2</w:t>
            </w:r>
          </w:p>
        </w:tc>
        <w:tc>
          <w:tcPr>
            <w:tcW w:type="dxa" w:w="1872"/>
          </w:tcPr>
          <w:p>
            <w:r>
              <w:rPr>
                <w:rFonts w:ascii="Arial" w:hAnsi="Arial"/>
                <w:color w:val="171717"/>
                <w:sz w:val="20"/>
              </w:rPr>
              <w:t>Removes inbox confusion. Finding 8.</w:t>
            </w:r>
          </w:p>
        </w:tc>
        <w:tc>
          <w:tcPr>
            <w:tcW w:type="dxa" w:w="1872"/>
          </w:tcPr>
          <w:p>
            <w:r>
              <w:rPr>
                <w:rFonts w:ascii="Arial" w:hAnsi="Arial"/>
                <w:color w:val="171717"/>
                <w:sz w:val="20"/>
              </w:rPr>
              <w:t>Chase</w:t>
            </w:r>
          </w:p>
        </w:tc>
        <w:tc>
          <w:tcPr>
            <w:tcW w:type="dxa" w:w="1872"/>
          </w:tcPr>
          <w:p>
            <w:r>
              <w:rPr>
                <w:rFonts w:ascii="Arial" w:hAnsi="Arial"/>
                <w:color w:val="171717"/>
                <w:sz w:val="20"/>
              </w:rPr>
              <w:t>Next content pass</w:t>
            </w:r>
          </w:p>
        </w:tc>
      </w:tr>
    </w:tbl>
    <w:p>
      <w:pPr>
        <w:spacing w:before="0" w:after="200"/>
      </w:pPr>
    </w:p>
    <w:p>
      <w:pPr>
        <w:spacing w:before="0" w:after="200"/>
      </w:pPr>
      <w:r>
        <w:rPr>
          <w:rFonts w:ascii="Arial" w:hAnsi="Arial"/>
          <w:b w:val="0"/>
          <w:i w:val="0"/>
          <w:color w:val="171717"/>
          <w:sz w:val="22"/>
        </w:rPr>
        <w:t>Recommendations 1 through 3 are required fixes. All three must be complete before April 10. Recommendation 1 is independent of all other work — it can begin today while everything else is planned. Recommendation 5 requires no code changes. It is a Makayla and Trisha coordination task that can happen in a single working session. Recommendations 6 and 8 are enhancements, not required fixes. Batch them into the next scheduled content pass.</w:t>
      </w:r>
      <w:r>
        <w:rPr>
          <w:rFonts w:ascii="Arial" w:hAnsi="Arial"/>
          <w:b w:val="0"/>
          <w:i w:val="0"/>
          <w:color w:val="171717"/>
          <w:sz w:val="22"/>
        </w:rPr>
        <w:t>Recommendations 1 through 3 are required fixes. All three must be complete before April 10. Recommendation 1 is independent of all other work — it can begin today while everything else is planned. Recommendation 5 requires no code changes. It is a Makayla and Trisha coordination task that can happen in a single working session. Recommendations 6 and 8 are enhancements, not required fixes. Batch them into the next scheduled content pass.</w:t>
      </w:r>
    </w:p>
    <w:p>
      <w:pPr>
        <w:spacing w:before="0" w:after="200"/>
      </w:pPr>
      <w:r>
        <w:rPr>
          <w:rFonts w:ascii="Arial" w:hAnsi="Arial"/>
          <w:b w:val="0"/>
          <w:i w:val="0"/>
          <w:color w:val="171717"/>
          <w:sz w:val="22"/>
        </w:rPr>
        <w:t>One standing note: the bridge email sequence, the testimonials page, and the Makayla close SOP (except the Finding 5 process note) are performing well. Those assets require no changes in this pass.</w:t>
      </w:r>
      <w:r>
        <w:rPr>
          <w:rFonts w:ascii="Arial" w:hAnsi="Arial"/>
          <w:b w:val="0"/>
          <w:i w:val="0"/>
          <w:color w:val="171717"/>
          <w:sz w:val="22"/>
        </w:rPr>
        <w:t>One standing note: the bridge email sequence, the testimonials page, and the Makayla close SOP (except the Finding 5 process note) are performing well. Those assets require no changes in this pass.</w:t>
      </w:r>
    </w:p>
    <w:p>
      <w:pPr>
        <w:spacing w:before="160" w:after="160"/>
        <w:pBdr>
          <w:bottom w:val="single" w:sz="2" w:space="0" w:color="7CC7D9"/>
        </w:pBdr>
      </w:pPr>
    </w:p>
    <w:p>
      <w:r>
        <w:br w:type="page"/>
      </w:r>
    </w:p>
    <w:p>
      <w:pPr>
        <w:pStyle w:val="Heading1"/>
        <w:spacing w:before="320" w:after="160"/>
        <w:pBdr>
          <w:bottom w:val="single" w:sz="4" w:space="4" w:color="1191B1"/>
        </w:pBdr>
      </w:pPr>
      <w:r>
        <w:rPr>
          <w:rFonts w:ascii="Cormorant Garamond" w:hAnsi="Cormorant Garamond"/>
          <w:b/>
          <w:color w:val="1191B1"/>
          <w:sz w:val="40"/>
        </w:rPr>
        <w:t>Next Steps</w:t>
      </w:r>
    </w:p>
    <w:p>
      <w:pPr>
        <w:spacing w:before="0" w:after="100"/>
        <w:ind w:left="576"/>
      </w:pPr>
      <w:r>
        <w:rPr>
          <w:rFonts w:ascii="Arial" w:hAnsi="Arial"/>
          <w:b/>
          <w:i w:val="0"/>
          <w:color w:val="1191B1"/>
          <w:sz w:val="22"/>
        </w:rPr>
        <w:t xml:space="preserve">1.  </w:t>
      </w:r>
      <w:r>
        <w:rPr>
          <w:rFonts w:ascii="Arial" w:hAnsi="Arial"/>
          <w:b/>
          <w:i w:val="0"/>
          <w:color w:val="171717"/>
          <w:sz w:val="22"/>
        </w:rPr>
        <w:t>Begin conference landing page</w:t>
      </w:r>
      <w:r>
        <w:rPr>
          <w:rFonts w:ascii="Arial" w:hAnsi="Arial"/>
          <w:b w:val="0"/>
          <w:i w:val="0"/>
          <w:color w:val="171717"/>
          <w:sz w:val="22"/>
        </w:rPr>
        <w:t xml:space="preserve"> — Chase briefs Trisha on copy requirements and begins build. </w:t>
      </w:r>
      <w:r>
        <w:rPr>
          <w:rFonts w:ascii="Arial" w:hAnsi="Arial"/>
          <w:b/>
          <w:i w:val="0"/>
          <w:color w:val="171717"/>
          <w:sz w:val="22"/>
        </w:rPr>
        <w:t>Owner:</w:t>
      </w:r>
      <w:r>
        <w:rPr>
          <w:rFonts w:ascii="Arial" w:hAnsi="Arial"/>
          <w:b w:val="0"/>
          <w:i w:val="0"/>
          <w:color w:val="171717"/>
          <w:sz w:val="22"/>
        </w:rPr>
        <w:t xml:space="preserve"> Chase + Trisha. </w:t>
      </w:r>
      <w:r>
        <w:rPr>
          <w:rFonts w:ascii="Arial" w:hAnsi="Arial"/>
          <w:b/>
          <w:i w:val="0"/>
          <w:color w:val="171717"/>
          <w:sz w:val="22"/>
        </w:rPr>
        <w:t>By:</w:t>
      </w:r>
      <w:r>
        <w:rPr>
          <w:rFonts w:ascii="Arial" w:hAnsi="Arial"/>
          <w:b w:val="0"/>
          <w:i w:val="0"/>
          <w:color w:val="171717"/>
          <w:sz w:val="22"/>
        </w:rPr>
        <w:t xml:space="preserve"> April 3.</w:t>
      </w:r>
    </w:p>
    <w:p>
      <w:pPr>
        <w:spacing w:before="0" w:after="100"/>
        <w:ind w:left="576"/>
      </w:pPr>
      <w:r>
        <w:rPr>
          <w:rFonts w:ascii="Arial" w:hAnsi="Arial"/>
          <w:b/>
          <w:i w:val="0"/>
          <w:color w:val="1191B1"/>
          <w:sz w:val="22"/>
        </w:rPr>
        <w:t xml:space="preserve">1.  </w:t>
      </w:r>
      <w:r>
        <w:rPr>
          <w:rFonts w:ascii="Arial" w:hAnsi="Arial"/>
          <w:b/>
          <w:i w:val="0"/>
          <w:color w:val="171717"/>
          <w:sz w:val="22"/>
        </w:rPr>
        <w:t>Audit Apply page and insert framework language</w:t>
      </w:r>
      <w:r>
        <w:rPr>
          <w:rFonts w:ascii="Arial" w:hAnsi="Arial"/>
          <w:b w:val="0"/>
          <w:i w:val="0"/>
          <w:color w:val="171717"/>
          <w:sz w:val="22"/>
        </w:rPr>
        <w:t xml:space="preserve"> — Trisha drafts updated copy at Step 2, 3, and 4 headings. Chase implements in code. </w:t>
      </w:r>
      <w:r>
        <w:rPr>
          <w:rFonts w:ascii="Arial" w:hAnsi="Arial"/>
          <w:b/>
          <w:i w:val="0"/>
          <w:color w:val="171717"/>
          <w:sz w:val="22"/>
        </w:rPr>
        <w:t>Owner:</w:t>
      </w:r>
      <w:r>
        <w:rPr>
          <w:rFonts w:ascii="Arial" w:hAnsi="Arial"/>
          <w:b w:val="0"/>
          <w:i w:val="0"/>
          <w:color w:val="171717"/>
          <w:sz w:val="22"/>
        </w:rPr>
        <w:t xml:space="preserve"> Trisha (copy draft) + Chase (code). </w:t>
      </w:r>
      <w:r>
        <w:rPr>
          <w:rFonts w:ascii="Arial" w:hAnsi="Arial"/>
          <w:b/>
          <w:i w:val="0"/>
          <w:color w:val="171717"/>
          <w:sz w:val="22"/>
        </w:rPr>
        <w:t>By:</w:t>
      </w:r>
      <w:r>
        <w:rPr>
          <w:rFonts w:ascii="Arial" w:hAnsi="Arial"/>
          <w:b w:val="0"/>
          <w:i w:val="0"/>
          <w:color w:val="171717"/>
          <w:sz w:val="22"/>
        </w:rPr>
        <w:t xml:space="preserve"> April 4.</w:t>
      </w:r>
    </w:p>
    <w:p>
      <w:pPr>
        <w:spacing w:before="0" w:after="100"/>
        <w:ind w:left="576"/>
      </w:pPr>
      <w:r>
        <w:rPr>
          <w:rFonts w:ascii="Arial" w:hAnsi="Arial"/>
          <w:b/>
          <w:i w:val="0"/>
          <w:color w:val="1191B1"/>
          <w:sz w:val="22"/>
        </w:rPr>
        <w:t xml:space="preserve">1.  </w:t>
      </w:r>
      <w:r>
        <w:rPr>
          <w:rFonts w:ascii="Arial" w:hAnsi="Arial"/>
          <w:b/>
          <w:i w:val="0"/>
          <w:color w:val="171717"/>
          <w:sz w:val="22"/>
        </w:rPr>
        <w:t>Rewrite all form error and fallback messages</w:t>
      </w:r>
      <w:r>
        <w:rPr>
          <w:rFonts w:ascii="Arial" w:hAnsi="Arial"/>
          <w:b w:val="0"/>
          <w:i w:val="0"/>
          <w:color w:val="171717"/>
          <w:sz w:val="22"/>
        </w:rPr>
        <w:t xml:space="preserve"> — Applies to the Apply page and webinar registration page across all error and submission-failure states. </w:t>
      </w:r>
      <w:r>
        <w:rPr>
          <w:rFonts w:ascii="Arial" w:hAnsi="Arial"/>
          <w:b/>
          <w:i w:val="0"/>
          <w:color w:val="171717"/>
          <w:sz w:val="22"/>
        </w:rPr>
        <w:t>Owner:</w:t>
      </w:r>
      <w:r>
        <w:rPr>
          <w:rFonts w:ascii="Arial" w:hAnsi="Arial"/>
          <w:b w:val="0"/>
          <w:i w:val="0"/>
          <w:color w:val="171717"/>
          <w:sz w:val="22"/>
        </w:rPr>
        <w:t xml:space="preserve"> Chase. </w:t>
      </w:r>
      <w:r>
        <w:rPr>
          <w:rFonts w:ascii="Arial" w:hAnsi="Arial"/>
          <w:b/>
          <w:i w:val="0"/>
          <w:color w:val="171717"/>
          <w:sz w:val="22"/>
        </w:rPr>
        <w:t>By:</w:t>
      </w:r>
      <w:r>
        <w:rPr>
          <w:rFonts w:ascii="Arial" w:hAnsi="Arial"/>
          <w:b w:val="0"/>
          <w:i w:val="0"/>
          <w:color w:val="171717"/>
          <w:sz w:val="22"/>
        </w:rPr>
        <w:t xml:space="preserve"> April 4.</w:t>
      </w:r>
    </w:p>
    <w:p>
      <w:pPr>
        <w:spacing w:before="0" w:after="100"/>
        <w:ind w:left="576"/>
      </w:pPr>
      <w:r>
        <w:rPr>
          <w:rFonts w:ascii="Arial" w:hAnsi="Arial"/>
          <w:b/>
          <w:i w:val="0"/>
          <w:color w:val="1191B1"/>
          <w:sz w:val="22"/>
        </w:rPr>
        <w:t xml:space="preserve">1.  </w:t>
      </w:r>
      <w:r>
        <w:rPr>
          <w:rFonts w:ascii="Arial" w:hAnsi="Arial"/>
          <w:b/>
          <w:i w:val="0"/>
          <w:color w:val="171717"/>
          <w:sz w:val="22"/>
        </w:rPr>
        <w:t>Document Trisha-to-Makayla brief protocol for Day 7 close email</w:t>
      </w:r>
      <w:r>
        <w:rPr>
          <w:rFonts w:ascii="Arial" w:hAnsi="Arial"/>
          <w:b w:val="0"/>
          <w:i w:val="0"/>
          <w:color w:val="171717"/>
          <w:sz w:val="22"/>
        </w:rPr>
        <w:t xml:space="preserve"> — Defines format, timing, and fallback for the brief that informs Day 7 personalization. </w:t>
      </w:r>
      <w:r>
        <w:rPr>
          <w:rFonts w:ascii="Arial" w:hAnsi="Arial"/>
          <w:b/>
          <w:i w:val="0"/>
          <w:color w:val="171717"/>
          <w:sz w:val="22"/>
        </w:rPr>
        <w:t>Owner:</w:t>
      </w:r>
      <w:r>
        <w:rPr>
          <w:rFonts w:ascii="Arial" w:hAnsi="Arial"/>
          <w:b w:val="0"/>
          <w:i w:val="0"/>
          <w:color w:val="171717"/>
          <w:sz w:val="22"/>
        </w:rPr>
        <w:t xml:space="preserve"> Makayla with Trisha input. </w:t>
      </w:r>
      <w:r>
        <w:rPr>
          <w:rFonts w:ascii="Arial" w:hAnsi="Arial"/>
          <w:b/>
          <w:i w:val="0"/>
          <w:color w:val="171717"/>
          <w:sz w:val="22"/>
        </w:rPr>
        <w:t>By:</w:t>
      </w:r>
      <w:r>
        <w:rPr>
          <w:rFonts w:ascii="Arial" w:hAnsi="Arial"/>
          <w:b w:val="0"/>
          <w:i w:val="0"/>
          <w:color w:val="171717"/>
          <w:sz w:val="22"/>
        </w:rPr>
        <w:t xml:space="preserve"> April 7.</w:t>
      </w:r>
    </w:p>
    <w:p>
      <w:pPr>
        <w:spacing w:before="0" w:after="100"/>
        <w:ind w:left="576"/>
      </w:pPr>
      <w:r>
        <w:rPr>
          <w:rFonts w:ascii="Arial" w:hAnsi="Arial"/>
          <w:b/>
          <w:i w:val="0"/>
          <w:color w:val="1191B1"/>
          <w:sz w:val="22"/>
        </w:rPr>
        <w:t xml:space="preserve">1.  </w:t>
      </w:r>
      <w:r>
        <w:rPr>
          <w:rFonts w:ascii="Arial" w:hAnsi="Arial"/>
          <w:b/>
          <w:i w:val="0"/>
          <w:color w:val="171717"/>
          <w:sz w:val="22"/>
        </w:rPr>
        <w:t>Verify /resources URL in application-received email</w:t>
      </w:r>
      <w:r>
        <w:rPr>
          <w:rFonts w:ascii="Arial" w:hAnsi="Arial"/>
          <w:b w:val="0"/>
          <w:i w:val="0"/>
          <w:color w:val="171717"/>
          <w:sz w:val="22"/>
        </w:rPr>
        <w:t xml:space="preserve"> — Confirm whether the page exists, redirect to an existing resource if not, or build a destination. </w:t>
      </w:r>
      <w:r>
        <w:rPr>
          <w:rFonts w:ascii="Arial" w:hAnsi="Arial"/>
          <w:b/>
          <w:i w:val="0"/>
          <w:color w:val="171717"/>
          <w:sz w:val="22"/>
        </w:rPr>
        <w:t>Owner:</w:t>
      </w:r>
      <w:r>
        <w:rPr>
          <w:rFonts w:ascii="Arial" w:hAnsi="Arial"/>
          <w:b w:val="0"/>
          <w:i w:val="0"/>
          <w:color w:val="171717"/>
          <w:sz w:val="22"/>
        </w:rPr>
        <w:t xml:space="preserve"> Chase. </w:t>
      </w:r>
      <w:r>
        <w:rPr>
          <w:rFonts w:ascii="Arial" w:hAnsi="Arial"/>
          <w:b/>
          <w:i w:val="0"/>
          <w:color w:val="171717"/>
          <w:sz w:val="22"/>
        </w:rPr>
        <w:t>By:</w:t>
      </w:r>
      <w:r>
        <w:rPr>
          <w:rFonts w:ascii="Arial" w:hAnsi="Arial"/>
          <w:b w:val="0"/>
          <w:i w:val="0"/>
          <w:color w:val="171717"/>
          <w:sz w:val="22"/>
        </w:rPr>
        <w:t xml:space="preserve"> April 7.</w:t>
      </w:r>
    </w:p>
    <w:p>
      <w:pPr>
        <w:spacing w:before="0" w:after="200"/>
      </w:pPr>
      <w:r>
        <w:rPr>
          <w:rFonts w:ascii="Arial" w:hAnsi="Arial"/>
          <w:b w:val="0"/>
          <w:i w:val="0"/>
          <w:color w:val="171717"/>
          <w:sz w:val="22"/>
        </w:rPr>
        <w:t>If Trisha wants to draft the conference landing page copy together in a working session, the project team is available — just say the word.</w:t>
      </w:r>
      <w:r>
        <w:rPr>
          <w:rFonts w:ascii="Arial" w:hAnsi="Arial"/>
          <w:b w:val="0"/>
          <w:i w:val="0"/>
          <w:color w:val="171717"/>
          <w:sz w:val="22"/>
        </w:rPr>
        <w:t>If Trisha wants to draft the conference landing page copy together in a working session, the project team is available — just say the word.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999999"/>
        <w:sz w:val="18"/>
      </w:rPr>
      <w:t>Confidential — Property of Healing Hearts LLC. For authorized internal use only. Do not distribute.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