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416EA" w:rsidRDefault="00015EB9" w14:paraId="6F1FE0E9" w14:textId="7056D93D">
      <w:pPr/>
      <w:r w:rsidRPr="79CBBDBE" w:rsidR="27EC6A90">
        <w:rPr>
          <w:rFonts w:ascii="Times New Roman" w:hAnsi="Times New Roman" w:cs="Times New Roman"/>
        </w:rPr>
        <w:t xml:space="preserve">Lab 4 Post-Lab, </w:t>
      </w:r>
      <w:r w:rsidRPr="79CBBDBE" w:rsidR="27EC6A90">
        <w:rPr>
          <w:rFonts w:ascii="Times New Roman" w:hAnsi="Times New Roman" w:cs="Times New Roman"/>
        </w:rPr>
        <w:t>Dustevich</w:t>
      </w:r>
      <w:r w:rsidRPr="79CBBDBE" w:rsidR="27EC6A90">
        <w:rPr>
          <w:rFonts w:ascii="Times New Roman" w:hAnsi="Times New Roman" w:cs="Times New Roman"/>
        </w:rPr>
        <w:t xml:space="preserve"> &amp; Wallace</w:t>
      </w:r>
      <w:r w:rsidRPr="79CBBDBE" w:rsidR="2F43EDBD">
        <w:rPr>
          <w:rFonts w:ascii="Times New Roman" w:hAnsi="Times New Roman" w:cs="Times New Roman"/>
        </w:rPr>
        <w:t xml:space="preserve"> – C&amp;C Industries</w:t>
      </w:r>
    </w:p>
    <w:p w:rsidR="79CBBDBE" w:rsidP="79CBBDBE" w:rsidRDefault="79CBBDBE" w14:paraId="08954B12" w14:textId="4EDF596E">
      <w:pPr>
        <w:rPr>
          <w:rFonts w:ascii="Times New Roman" w:hAnsi="Times New Roman" w:cs="Times New Roman"/>
        </w:rPr>
      </w:pPr>
    </w:p>
    <w:p w:rsidR="72E91FB7" w:rsidP="79CBBDBE" w:rsidRDefault="72E91FB7" w14:paraId="57FBD3A3" w14:textId="3DAF4AA2">
      <w:pPr>
        <w:pStyle w:val="ListParagraph"/>
        <w:numPr>
          <w:ilvl w:val="0"/>
          <w:numId w:val="1"/>
        </w:numPr>
        <w:rPr>
          <w:rFonts w:ascii="Times New Roman" w:hAnsi="Times New Roman" w:cs="Times New Roman"/>
        </w:rPr>
      </w:pPr>
      <w:r w:rsidRPr="79CBBDBE" w:rsidR="72E91FB7">
        <w:rPr>
          <w:rFonts w:ascii="Times New Roman" w:hAnsi="Times New Roman" w:cs="Times New Roman"/>
        </w:rPr>
        <w:t>Predicted Link-Margin Plot:</w:t>
      </w:r>
    </w:p>
    <w:p w:rsidR="72E91FB7" w:rsidP="79CBBDBE" w:rsidRDefault="72E91FB7" w14:paraId="77BB334E" w14:textId="1F5D572C">
      <w:pPr>
        <w:pStyle w:val="ListParagraph"/>
        <w:ind w:left="720"/>
        <w:jc w:val="center"/>
      </w:pPr>
      <w:r w:rsidR="72E91FB7">
        <w:drawing>
          <wp:inline wp14:editId="772C151F" wp14:anchorId="1C0B49B7">
            <wp:extent cx="4014486" cy="3111226"/>
            <wp:effectExtent l="0" t="0" r="0" b="0"/>
            <wp:docPr id="891928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1928807" name="Picture 891928807"/>
                    <pic:cNvPicPr/>
                  </pic:nvPicPr>
                  <pic:blipFill>
                    <a:blip xmlns:r="http://schemas.openxmlformats.org/officeDocument/2006/relationships" r:embed="rId930163380">
                      <a:extLst>
                        <a:ext uri="{28A0092B-C50C-407E-A947-70E740481C1C}">
                          <a14:useLocalDpi xmlns:a14="http://schemas.microsoft.com/office/drawing/2010/main"/>
                        </a:ext>
                      </a:extLst>
                    </a:blip>
                    <a:stretch>
                      <a:fillRect/>
                    </a:stretch>
                  </pic:blipFill>
                  <pic:spPr>
                    <a:xfrm rot="0">
                      <a:off x="0" y="0"/>
                      <a:ext cx="4014486" cy="3111226"/>
                    </a:xfrm>
                    <a:prstGeom prst="rect">
                      <a:avLst/>
                    </a:prstGeom>
                  </pic:spPr>
                </pic:pic>
              </a:graphicData>
            </a:graphic>
          </wp:inline>
        </w:drawing>
      </w:r>
    </w:p>
    <w:p w:rsidR="30F2F33E" w:rsidP="79CBBDBE" w:rsidRDefault="30F2F33E" w14:paraId="37814A60" w14:textId="590502BD">
      <w:pPr>
        <w:pStyle w:val="ListParagraph"/>
        <w:ind w:left="720"/>
        <w:jc w:val="center"/>
      </w:pPr>
      <w:r w:rsidR="30F2F33E">
        <w:rPr/>
        <w:t>Figure 1 – Predicted Link-Margin for Dipole and PCB links</w:t>
      </w:r>
    </w:p>
    <w:p w:rsidR="79CBBDBE" w:rsidP="79CBBDBE" w:rsidRDefault="79CBBDBE" w14:paraId="5FB3398A" w14:textId="473C686F">
      <w:pPr>
        <w:pStyle w:val="ListParagraph"/>
        <w:ind w:left="720"/>
      </w:pPr>
    </w:p>
    <w:p w:rsidR="30F2F33E" w:rsidP="79CBBDBE" w:rsidRDefault="30F2F33E" w14:paraId="2AFB2111" w14:textId="7DA20983">
      <w:pPr>
        <w:pStyle w:val="ListParagraph"/>
        <w:numPr>
          <w:ilvl w:val="0"/>
          <w:numId w:val="1"/>
        </w:numPr>
        <w:rPr/>
      </w:pPr>
      <w:r w:rsidR="30F2F33E">
        <w:rPr/>
        <w:t>Predicted Link-Margin Plot with Experimental Data Included:</w:t>
      </w:r>
    </w:p>
    <w:p w:rsidR="30F2F33E" w:rsidP="79CBBDBE" w:rsidRDefault="30F2F33E" w14:paraId="0B6A76BC" w14:textId="6DE6299B">
      <w:pPr>
        <w:pStyle w:val="ListParagraph"/>
        <w:ind w:left="720"/>
        <w:jc w:val="center"/>
      </w:pPr>
      <w:r w:rsidR="30F2F33E">
        <w:drawing>
          <wp:inline wp14:editId="5C2AC597" wp14:anchorId="430E8D38">
            <wp:extent cx="4321098" cy="3248025"/>
            <wp:effectExtent l="0" t="0" r="0" b="0"/>
            <wp:docPr id="212960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96039" name="Picture 21296039"/>
                    <pic:cNvPicPr/>
                  </pic:nvPicPr>
                  <pic:blipFill>
                    <a:blip xmlns:r="http://schemas.openxmlformats.org/officeDocument/2006/relationships" r:embed="rId1571741159">
                      <a:extLst>
                        <a:ext uri="{28A0092B-C50C-407E-A947-70E740481C1C}">
                          <a14:useLocalDpi xmlns:a14="http://schemas.microsoft.com/office/drawing/2010/main"/>
                        </a:ext>
                      </a:extLst>
                    </a:blip>
                    <a:stretch>
                      <a:fillRect/>
                    </a:stretch>
                  </pic:blipFill>
                  <pic:spPr>
                    <a:xfrm rot="0">
                      <a:off x="0" y="0"/>
                      <a:ext cx="4321098" cy="3248025"/>
                    </a:xfrm>
                    <a:prstGeom prst="rect">
                      <a:avLst/>
                    </a:prstGeom>
                  </pic:spPr>
                </pic:pic>
              </a:graphicData>
            </a:graphic>
          </wp:inline>
        </w:drawing>
      </w:r>
    </w:p>
    <w:p w:rsidR="30F2F33E" w:rsidP="79CBBDBE" w:rsidRDefault="30F2F33E" w14:paraId="628ACE8A" w14:textId="2C7CDFAA">
      <w:pPr>
        <w:pStyle w:val="ListParagraph"/>
        <w:suppressLineNumbers w:val="0"/>
        <w:bidi w:val="0"/>
        <w:spacing w:before="0" w:beforeAutospacing="off" w:after="160" w:afterAutospacing="off" w:line="278" w:lineRule="auto"/>
        <w:ind w:left="720" w:right="0"/>
        <w:jc w:val="center"/>
      </w:pPr>
      <w:r w:rsidR="30F2F33E">
        <w:rPr/>
        <w:t>Figure 2 – Experimental Data Overlay on Predicted</w:t>
      </w:r>
    </w:p>
    <w:p w:rsidR="76AB592C" w:rsidP="79CBBDBE" w:rsidRDefault="76AB592C" w14:paraId="3B2C2A21" w14:textId="44409C79">
      <w:pPr>
        <w:pStyle w:val="ListParagraph"/>
        <w:numPr>
          <w:ilvl w:val="0"/>
          <w:numId w:val="1"/>
        </w:numPr>
        <w:suppressLineNumbers w:val="0"/>
        <w:bidi w:val="0"/>
        <w:spacing w:before="0" w:beforeAutospacing="off" w:after="160" w:afterAutospacing="off" w:line="278" w:lineRule="auto"/>
        <w:ind w:right="0"/>
        <w:jc w:val="left"/>
        <w:rPr/>
      </w:pPr>
      <w:r w:rsidR="76AB592C">
        <w:rPr/>
        <w:t>The difference</w:t>
      </w:r>
      <w:r w:rsidR="07E66D87">
        <w:rPr/>
        <w:t xml:space="preserve"> betwee</w:t>
      </w:r>
      <w:r w:rsidR="76AB592C">
        <w:rPr/>
        <w:t xml:space="preserve">n the expected value </w:t>
      </w:r>
      <w:r w:rsidR="64B2341D">
        <w:rPr/>
        <w:t>and</w:t>
      </w:r>
      <w:r w:rsidR="76AB592C">
        <w:rPr/>
        <w:t xml:space="preserve"> the measured value is that the </w:t>
      </w:r>
      <w:r w:rsidR="76AB592C">
        <w:rPr/>
        <w:t>measured</w:t>
      </w:r>
      <w:r w:rsidR="76AB592C">
        <w:rPr/>
        <w:t xml:space="preserve"> is lower than expected. This </w:t>
      </w:r>
      <w:r w:rsidR="76AB592C">
        <w:rPr/>
        <w:t>likely occurs</w:t>
      </w:r>
      <w:r w:rsidR="76AB592C">
        <w:rPr/>
        <w:t xml:space="preserve"> due to a culmination of multiple factors, such as interference from </w:t>
      </w:r>
      <w:r w:rsidR="6F80C937">
        <w:rPr/>
        <w:t xml:space="preserve">the ground, especially metal used in concrete, people walking between the transmitter and receiver, and interference from </w:t>
      </w:r>
      <w:r w:rsidR="6F80C937">
        <w:rPr/>
        <w:t>WiFi</w:t>
      </w:r>
      <w:r w:rsidR="6F80C937">
        <w:rPr/>
        <w:t xml:space="preserve">. Since our operating </w:t>
      </w:r>
      <w:r w:rsidR="3A87AD83">
        <w:rPr/>
        <w:t xml:space="preserve">frequency matches that of </w:t>
      </w:r>
      <w:r w:rsidR="3A87AD83">
        <w:rPr/>
        <w:t>WiFi</w:t>
      </w:r>
      <w:r w:rsidR="3A87AD83">
        <w:rPr/>
        <w:t xml:space="preserve">, this </w:t>
      </w:r>
      <w:r w:rsidR="3A87AD83">
        <w:rPr/>
        <w:t>likely provides</w:t>
      </w:r>
      <w:r w:rsidR="3A87AD83">
        <w:rPr/>
        <w:t xml:space="preserve"> the greatest source of error.</w:t>
      </w:r>
      <w:r w:rsidR="513B9E31">
        <w:rPr/>
        <w:t xml:space="preserve"> The change in this interference between points is </w:t>
      </w:r>
      <w:r w:rsidR="513B9E31">
        <w:rPr/>
        <w:t>most likely due to</w:t>
      </w:r>
      <w:r w:rsidR="513B9E31">
        <w:rPr/>
        <w:t xml:space="preserve"> multipath effects, where the signal may </w:t>
      </w:r>
      <w:r w:rsidR="513B9E31">
        <w:rPr/>
        <w:t>reflect off</w:t>
      </w:r>
      <w:r w:rsidR="513B9E31">
        <w:rPr/>
        <w:t xml:space="preserve"> surfaces differently based on where the receiver was.</w:t>
      </w:r>
      <w:r w:rsidR="75E98C33">
        <w:rPr/>
        <w:t xml:space="preserve"> Most notably, at about </w:t>
      </w:r>
      <w:r w:rsidR="75E98C33">
        <w:rPr/>
        <w:t>120 m</w:t>
      </w:r>
      <w:r w:rsidR="75E98C33">
        <w:rPr/>
        <w:t xml:space="preserve">, there was a bridge that would </w:t>
      </w:r>
      <w:r w:rsidR="75E98C33">
        <w:rPr/>
        <w:t>likely stifle</w:t>
      </w:r>
      <w:r w:rsidR="75E98C33">
        <w:rPr/>
        <w:t xml:space="preserve"> some reflection and decrease margin.</w:t>
      </w:r>
    </w:p>
    <w:p w:rsidR="674A4FCB" w:rsidP="79CBBDBE" w:rsidRDefault="674A4FCB" w14:paraId="0B546BAE" w14:textId="3D29D368">
      <w:pPr>
        <w:pStyle w:val="ListParagraph"/>
        <w:numPr>
          <w:ilvl w:val="0"/>
          <w:numId w:val="1"/>
        </w:numPr>
        <w:suppressLineNumbers w:val="0"/>
        <w:bidi w:val="0"/>
        <w:spacing w:before="0" w:beforeAutospacing="off" w:after="160" w:afterAutospacing="off" w:line="278" w:lineRule="auto"/>
        <w:ind w:right="0"/>
        <w:jc w:val="left"/>
        <w:rPr/>
      </w:pPr>
      <w:r w:rsidR="674A4FCB">
        <w:rPr/>
        <w:t xml:space="preserve">When the transmitter antenna was turned to “point at” the </w:t>
      </w:r>
      <w:r w:rsidR="674A4FCB">
        <w:rPr/>
        <w:t>receiver</w:t>
      </w:r>
      <w:r w:rsidR="674A4FCB">
        <w:rPr/>
        <w:t xml:space="preserve"> the expected outcome was that the connection would drop, as the receiver would be in the cone of silence of the transmitter.</w:t>
      </w:r>
      <w:r w:rsidR="31F45AFF">
        <w:rPr/>
        <w:t xml:space="preserve"> This means the only signal capable of being received would be the reflected signal, which was not strong enough to establish a connection.</w:t>
      </w:r>
    </w:p>
    <w:p w:rsidR="4E814D2D" w:rsidP="79CBBDBE" w:rsidRDefault="4E814D2D" w14:paraId="7E06CE7E" w14:textId="50F24868">
      <w:pPr>
        <w:pStyle w:val="ListParagraph"/>
        <w:numPr>
          <w:ilvl w:val="0"/>
          <w:numId w:val="1"/>
        </w:numPr>
        <w:suppressLineNumbers w:val="0"/>
        <w:bidi w:val="0"/>
        <w:spacing w:before="0" w:beforeAutospacing="off" w:after="160" w:afterAutospacing="off" w:line="278" w:lineRule="auto"/>
        <w:ind w:right="0"/>
        <w:jc w:val="left"/>
        <w:rPr/>
      </w:pPr>
      <w:r w:rsidR="4E814D2D">
        <w:rPr/>
        <w:t xml:space="preserve">The calculated link margin was found to be –37.77 dB using MATLAB. This means this configuration would not be </w:t>
      </w:r>
      <w:r w:rsidR="4E814D2D">
        <w:rPr/>
        <w:t>feasible</w:t>
      </w:r>
      <w:r w:rsidR="4E814D2D">
        <w:rPr/>
        <w:t>. To correct this issue, we assume the sy</w:t>
      </w:r>
      <w:r w:rsidR="37366367">
        <w:rPr/>
        <w:t>stem is still in development</w:t>
      </w:r>
      <w:r w:rsidR="2B99C75E">
        <w:rPr/>
        <w:t>, so</w:t>
      </w:r>
      <w:r w:rsidR="37366367">
        <w:rPr/>
        <w:t xml:space="preserve"> the on-orbit </w:t>
      </w:r>
      <w:r w:rsidR="37366367">
        <w:rPr/>
        <w:t>component</w:t>
      </w:r>
      <w:r w:rsidR="37366367">
        <w:rPr/>
        <w:t xml:space="preserve"> can still be changed. Given this, the design suggestions that could make this link </w:t>
      </w:r>
      <w:r w:rsidR="37366367">
        <w:rPr/>
        <w:t>feasible</w:t>
      </w:r>
      <w:r w:rsidR="37366367">
        <w:rPr/>
        <w:t xml:space="preserve"> would be to increase the power transmitted as well as the gain of the </w:t>
      </w:r>
      <w:r w:rsidR="7617BD28">
        <w:rPr/>
        <w:t xml:space="preserve">dipole by </w:t>
      </w:r>
      <w:r w:rsidR="7617BD28">
        <w:rPr/>
        <w:t>perhaps substituting</w:t>
      </w:r>
      <w:r w:rsidR="7617BD28">
        <w:rPr/>
        <w:t xml:space="preserve"> this </w:t>
      </w:r>
      <w:r w:rsidR="7617BD28">
        <w:rPr/>
        <w:t>component</w:t>
      </w:r>
      <w:r w:rsidR="7617BD28">
        <w:rPr/>
        <w:t xml:space="preserve"> for one with a more directionally pointed </w:t>
      </w:r>
      <w:r w:rsidR="7617BD28">
        <w:rPr/>
        <w:t>transmiter</w:t>
      </w:r>
      <w:r w:rsidR="7617BD28">
        <w:rPr/>
        <w:t xml:space="preserve">/receiver. </w:t>
      </w:r>
      <w:r w:rsidR="371B306A">
        <w:rPr/>
        <w:t>Both</w:t>
      </w:r>
      <w:r w:rsidR="513FEBA8">
        <w:rPr/>
        <w:t xml:space="preserve"> would increase the cost of the project as increasing the transmitter power not only takes more electricity but could also require infrastructure to be upgraded to accommodate this change. Changing parts when the </w:t>
      </w:r>
      <w:r w:rsidR="513FEBA8">
        <w:rPr/>
        <w:t>initial</w:t>
      </w:r>
      <w:r w:rsidR="513FEBA8">
        <w:rPr/>
        <w:t xml:space="preserve"> design parts are </w:t>
      </w:r>
      <w:r w:rsidR="71395E75">
        <w:rPr/>
        <w:t xml:space="preserve">already </w:t>
      </w:r>
      <w:r w:rsidR="71395E75">
        <w:rPr/>
        <w:t>acquired</w:t>
      </w:r>
      <w:r w:rsidR="71395E75">
        <w:rPr/>
        <w:t xml:space="preserve"> means an increase in cost as well. Lastly, changing the directionality of a transmitter/receiver require</w:t>
      </w:r>
      <w:r w:rsidR="3C1F88F5">
        <w:rPr/>
        <w:t>s</w:t>
      </w:r>
      <w:r w:rsidR="71395E75">
        <w:rPr/>
        <w:t xml:space="preserve"> greater pointing accuracy, once again meaning infrastructure and control programs could require an upgrade.</w:t>
      </w:r>
    </w:p>
    <w:p w:rsidR="00015EB9" w:rsidRDefault="00015EB9" w14:paraId="530C9278" w14:textId="77777777">
      <w:pPr>
        <w:rPr>
          <w:rFonts w:ascii="Times New Roman" w:hAnsi="Times New Roman" w:cs="Times New Roman"/>
        </w:rPr>
      </w:pPr>
    </w:p>
    <w:p w:rsidRPr="00015EB9" w:rsidR="00015EB9" w:rsidRDefault="00015EB9" w14:paraId="7235E6E7" w14:textId="77777777">
      <w:pPr>
        <w:rPr>
          <w:rFonts w:ascii="Times New Roman" w:hAnsi="Times New Roman" w:cs="Times New Roman"/>
        </w:rPr>
      </w:pPr>
    </w:p>
    <w:sectPr w:rsidRPr="00015EB9" w:rsidR="00015EB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1a185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036"/>
    <w:rsid w:val="00015EB9"/>
    <w:rsid w:val="00030036"/>
    <w:rsid w:val="000E2702"/>
    <w:rsid w:val="00354886"/>
    <w:rsid w:val="009E61FB"/>
    <w:rsid w:val="00C416EA"/>
    <w:rsid w:val="00CE085D"/>
    <w:rsid w:val="00D131DA"/>
    <w:rsid w:val="00E51D77"/>
    <w:rsid w:val="07E66D87"/>
    <w:rsid w:val="0888AC4B"/>
    <w:rsid w:val="0AFBE9CF"/>
    <w:rsid w:val="0E089964"/>
    <w:rsid w:val="1164328C"/>
    <w:rsid w:val="12550755"/>
    <w:rsid w:val="12EA804A"/>
    <w:rsid w:val="159EAB17"/>
    <w:rsid w:val="181DDE88"/>
    <w:rsid w:val="1D11DC83"/>
    <w:rsid w:val="1FEE43C9"/>
    <w:rsid w:val="20F23A2D"/>
    <w:rsid w:val="21882912"/>
    <w:rsid w:val="267E1DDD"/>
    <w:rsid w:val="274066AC"/>
    <w:rsid w:val="27EC6A90"/>
    <w:rsid w:val="2B99C75E"/>
    <w:rsid w:val="2E914EA1"/>
    <w:rsid w:val="2F43EDBD"/>
    <w:rsid w:val="30F2F33E"/>
    <w:rsid w:val="31F45AFF"/>
    <w:rsid w:val="371B306A"/>
    <w:rsid w:val="37366367"/>
    <w:rsid w:val="396DD147"/>
    <w:rsid w:val="3A87AD83"/>
    <w:rsid w:val="3AB26086"/>
    <w:rsid w:val="3C1F88F5"/>
    <w:rsid w:val="3C555479"/>
    <w:rsid w:val="3D71A8AE"/>
    <w:rsid w:val="41D3F0B4"/>
    <w:rsid w:val="4272BD2F"/>
    <w:rsid w:val="4418FC1E"/>
    <w:rsid w:val="46C2AD37"/>
    <w:rsid w:val="498B4331"/>
    <w:rsid w:val="4D7DD27B"/>
    <w:rsid w:val="4E814D2D"/>
    <w:rsid w:val="501B14A5"/>
    <w:rsid w:val="513B9E31"/>
    <w:rsid w:val="513FEBA8"/>
    <w:rsid w:val="54EB7D69"/>
    <w:rsid w:val="5B20802E"/>
    <w:rsid w:val="64B2341D"/>
    <w:rsid w:val="64C758E5"/>
    <w:rsid w:val="6555069F"/>
    <w:rsid w:val="674A4FCB"/>
    <w:rsid w:val="694074F9"/>
    <w:rsid w:val="6A5D7E1F"/>
    <w:rsid w:val="6C2CADCA"/>
    <w:rsid w:val="6D845A50"/>
    <w:rsid w:val="6F80C937"/>
    <w:rsid w:val="71395E75"/>
    <w:rsid w:val="72AD45C0"/>
    <w:rsid w:val="72E91FB7"/>
    <w:rsid w:val="73636039"/>
    <w:rsid w:val="75E98C33"/>
    <w:rsid w:val="7617BD28"/>
    <w:rsid w:val="76AB592C"/>
    <w:rsid w:val="79CBB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58C0C"/>
  <w15:chartTrackingRefBased/>
  <w15:docId w15:val="{FDCBB005-BEC5-4F25-A7D4-61777E947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3003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03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0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0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0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03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3003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3003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3003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3003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3003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3003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3003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3003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30036"/>
    <w:rPr>
      <w:rFonts w:eastAsiaTheme="majorEastAsia" w:cstheme="majorBidi"/>
      <w:color w:val="272727" w:themeColor="text1" w:themeTint="D8"/>
    </w:rPr>
  </w:style>
  <w:style w:type="paragraph" w:styleId="Title">
    <w:name w:val="Title"/>
    <w:basedOn w:val="Normal"/>
    <w:next w:val="Normal"/>
    <w:link w:val="TitleChar"/>
    <w:uiPriority w:val="10"/>
    <w:qFormat/>
    <w:rsid w:val="0003003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3003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3003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30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036"/>
    <w:pPr>
      <w:spacing w:before="160"/>
      <w:jc w:val="center"/>
    </w:pPr>
    <w:rPr>
      <w:i/>
      <w:iCs/>
      <w:color w:val="404040" w:themeColor="text1" w:themeTint="BF"/>
    </w:rPr>
  </w:style>
  <w:style w:type="character" w:styleId="QuoteChar" w:customStyle="1">
    <w:name w:val="Quote Char"/>
    <w:basedOn w:val="DefaultParagraphFont"/>
    <w:link w:val="Quote"/>
    <w:uiPriority w:val="29"/>
    <w:rsid w:val="00030036"/>
    <w:rPr>
      <w:i/>
      <w:iCs/>
      <w:color w:val="404040" w:themeColor="text1" w:themeTint="BF"/>
    </w:rPr>
  </w:style>
  <w:style w:type="paragraph" w:styleId="ListParagraph">
    <w:name w:val="List Paragraph"/>
    <w:basedOn w:val="Normal"/>
    <w:uiPriority w:val="34"/>
    <w:qFormat/>
    <w:rsid w:val="00030036"/>
    <w:pPr>
      <w:ind w:left="720"/>
      <w:contextualSpacing/>
    </w:pPr>
  </w:style>
  <w:style w:type="character" w:styleId="IntenseEmphasis">
    <w:name w:val="Intense Emphasis"/>
    <w:basedOn w:val="DefaultParagraphFont"/>
    <w:uiPriority w:val="21"/>
    <w:qFormat/>
    <w:rsid w:val="00030036"/>
    <w:rPr>
      <w:i/>
      <w:iCs/>
      <w:color w:val="0F4761" w:themeColor="accent1" w:themeShade="BF"/>
    </w:rPr>
  </w:style>
  <w:style w:type="paragraph" w:styleId="IntenseQuote">
    <w:name w:val="Intense Quote"/>
    <w:basedOn w:val="Normal"/>
    <w:next w:val="Normal"/>
    <w:link w:val="IntenseQuoteChar"/>
    <w:uiPriority w:val="30"/>
    <w:qFormat/>
    <w:rsid w:val="0003003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30036"/>
    <w:rPr>
      <w:i/>
      <w:iCs/>
      <w:color w:val="0F4761" w:themeColor="accent1" w:themeShade="BF"/>
    </w:rPr>
  </w:style>
  <w:style w:type="character" w:styleId="IntenseReference">
    <w:name w:val="Intense Reference"/>
    <w:basedOn w:val="DefaultParagraphFont"/>
    <w:uiPriority w:val="32"/>
    <w:qFormat/>
    <w:rsid w:val="000300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30163380" /><Relationship Type="http://schemas.openxmlformats.org/officeDocument/2006/relationships/image" Target="/media/image2.png" Id="rId1571741159" /><Relationship Type="http://schemas.openxmlformats.org/officeDocument/2006/relationships/numbering" Target="numbering.xml" Id="Rc928157bb8774fd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Dustevich, Chase T C1C USAF USAFA CW/CS24</dc:creator>
  <keywords/>
  <dc:description/>
  <lastModifiedBy>Wallace, Colby R C1C USAF USAFA CW/CS12</lastModifiedBy>
  <revision>3</revision>
  <dcterms:created xsi:type="dcterms:W3CDTF">2026-09-01T20:59:00.0000000Z</dcterms:created>
  <dcterms:modified xsi:type="dcterms:W3CDTF">2026-09-08T04:17:52.3357667Z</dcterms:modified>
</coreProperties>
</file>