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b/>
          <w:color w:val="1A1A1A"/>
          <w:sz w:val="44"/>
        </w:rPr>
        <w:t>CHASE KINSLOW</w:t>
      </w:r>
    </w:p>
    <w:p>
      <w:pPr>
        <w:spacing w:after="40"/>
      </w:pPr>
      <w:r>
        <w:rPr>
          <w:color w:val="555555"/>
          <w:sz w:val="18"/>
        </w:rPr>
        <w:t>Compliance &amp; Transaction Processing Professional</w:t>
      </w:r>
    </w:p>
    <w:p>
      <w:pPr>
        <w:spacing w:after="160"/>
      </w:pPr>
      <w:r>
        <w:rPr>
          <w:color w:val="555555"/>
          <w:sz w:val="17"/>
        </w:rPr>
        <w:t>(501) 707-7779  |  chasekn30@yahoo.com  |  Monroe, LA 71201</w:t>
      </w:r>
    </w:p>
    <w:p>
      <w:pPr>
        <w:spacing w:before="200" w:after="0"/>
      </w:pPr>
      <w:r>
        <w:rPr>
          <w:b/>
          <w:color w:val="1A1A1A"/>
          <w:sz w:val="22"/>
        </w:rPr>
        <w:t>PROFESSIONAL SUMMARY</w:t>
      </w:r>
    </w:p>
    <w:p>
      <w:pPr>
        <w:spacing w:before="0" w:after="80"/>
        <w:pBdr>
          <w:bottom w:val="single" w:sz="6" w:space="1" w:color="C8A951"/>
        </w:pBdr>
      </w:pPr>
    </w:p>
    <w:p>
      <w:pPr>
        <w:spacing w:after="80"/>
      </w:pPr>
      <w:r>
        <w:rPr>
          <w:sz w:val="18"/>
        </w:rPr>
        <w:t>CPA-licensed compliance and operations professional with a Juris Doctor, Bachelor of Accountancy, and three years of experience managing audit-ready documentation, financial reconciliations, and regulatory submissions in environments where a single error could disqualify an entire file. Proven track record building reconciliation models, executing GAAP-compliant audit fieldwork, and maintaining zero-error production standards across high-volume transaction processing. Combines the document precision required for collateral review and custody operations with hands-on experience in daily cash reconciliation, inventory tracking, and cross-departmental coordination.</w:t>
      </w:r>
    </w:p>
    <w:p>
      <w:pPr>
        <w:spacing w:before="200" w:after="0"/>
      </w:pPr>
      <w:r>
        <w:rPr>
          <w:b/>
          <w:color w:val="1A1A1A"/>
          <w:sz w:val="22"/>
        </w:rPr>
        <w:t>KEY ACHIEVEMENTS &amp; SKILLS</w:t>
      </w:r>
    </w:p>
    <w:p>
      <w:pPr>
        <w:spacing w:before="0" w:after="80"/>
        <w:pBdr>
          <w:bottom w:val="single" w:sz="6" w:space="1" w:color="C8A951"/>
        </w:pBdr>
      </w:pPr>
    </w:p>
    <w:p>
      <w:pPr>
        <w:spacing w:before="120" w:after="40"/>
        <w:shd w:val="clear" w:color="auto" w:fill="D8D8D8"/>
      </w:pPr>
      <w:r>
        <w:rPr>
          <w:b/>
          <w:color w:val="1A1A1A"/>
          <w:sz w:val="19"/>
        </w:rPr>
        <w:t>Compliance, Reconciliation &amp; Document Review</w:t>
      </w:r>
    </w:p>
    <w:p>
      <w:pPr>
        <w:spacing w:after="40"/>
        <w:ind w:left="360"/>
      </w:pPr>
      <w:r>
        <w:rPr>
          <w:color w:val="1A1A1A"/>
          <w:sz w:val="18"/>
        </w:rPr>
        <w:t>•  Developed proprietary parallel reconciliation models in Excel to track comprehensive project data sets, ensuring total eligible basis integrity by reconciling cumulative construction draws and recommending variance-correcting adjustments for Final Cost Certifications</w:t>
      </w:r>
    </w:p>
    <w:p>
      <w:pPr>
        <w:spacing w:after="40"/>
        <w:ind w:left="360"/>
      </w:pPr>
      <w:r>
        <w:rPr>
          <w:color w:val="1A1A1A"/>
          <w:sz w:val="18"/>
        </w:rPr>
        <w:t>•  Managed comprehensive LIHTC audit fieldwork — substantive testing, GAAP-compliant adjustments, final adjusted trial balances, and HUD-tailored supplemental schedules requiring zero-error precision across multiple client portfolios</w:t>
      </w:r>
    </w:p>
    <w:p>
      <w:pPr>
        <w:spacing w:after="40"/>
        <w:ind w:left="360"/>
      </w:pPr>
      <w:r>
        <w:rPr>
          <w:color w:val="1A1A1A"/>
          <w:sz w:val="18"/>
        </w:rPr>
        <w:t>•  Co-administered end-to-end regulatory application preparation, auditing project budgets for DSCR compliance through Year 15 and maximizing competitive scoring by optimizing FMR tiers, flood mitigation, and set-aside inputs</w:t>
      </w:r>
    </w:p>
    <w:p>
      <w:pPr>
        <w:spacing w:before="120" w:after="40"/>
        <w:shd w:val="clear" w:color="auto" w:fill="D8D8D8"/>
      </w:pPr>
      <w:r>
        <w:rPr>
          <w:b/>
          <w:color w:val="1A1A1A"/>
          <w:sz w:val="19"/>
        </w:rPr>
        <w:t>Transaction Processing &amp; Production Standards</w:t>
      </w:r>
    </w:p>
    <w:p>
      <w:pPr>
        <w:spacing w:after="40"/>
        <w:ind w:left="360"/>
      </w:pPr>
      <w:r>
        <w:rPr>
          <w:color w:val="1A1A1A"/>
          <w:sz w:val="18"/>
        </w:rPr>
        <w:t>•  Process high-volume transactions daily on POS systems with zero-error accuracy, managing cash handling, register reconciliation, and payment processing across a fast-paced retail operation</w:t>
      </w:r>
    </w:p>
    <w:p>
      <w:pPr>
        <w:spacing w:after="40"/>
        <w:ind w:left="360"/>
      </w:pPr>
      <w:r>
        <w:rPr>
          <w:color w:val="1A1A1A"/>
          <w:sz w:val="18"/>
        </w:rPr>
        <w:t>•  Reduced cash-handling discrepancies by 15% through disciplined daily reconciliation procedures and adherence to standard operating protocols</w:t>
      </w:r>
    </w:p>
    <w:p>
      <w:pPr>
        <w:spacing w:after="40"/>
        <w:ind w:left="360"/>
      </w:pPr>
      <w:r>
        <w:rPr>
          <w:color w:val="1A1A1A"/>
          <w:sz w:val="18"/>
        </w:rPr>
        <w:t>•  Maintained inventory control systems using digital tracking, reducing stockouts by 10% and ensuring accurate record-keeping across all product categories</w:t>
      </w:r>
    </w:p>
    <w:p>
      <w:pPr>
        <w:spacing w:before="120" w:after="40"/>
        <w:shd w:val="clear" w:color="auto" w:fill="D8D8D8"/>
      </w:pPr>
      <w:r>
        <w:rPr>
          <w:b/>
          <w:color w:val="1A1A1A"/>
          <w:sz w:val="19"/>
        </w:rPr>
        <w:t>Operations Coordination &amp; Issue Resolution</w:t>
      </w:r>
    </w:p>
    <w:p>
      <w:pPr>
        <w:spacing w:after="40"/>
        <w:ind w:left="360"/>
      </w:pPr>
      <w:r>
        <w:rPr>
          <w:color w:val="1A1A1A"/>
          <w:sz w:val="18"/>
        </w:rPr>
        <w:t>•  Managed daily equipment logistics, tracked supply levels, and reported shortages to management, reducing service disruptions by 20% through proactive escalation</w:t>
      </w:r>
    </w:p>
    <w:p>
      <w:pPr>
        <w:spacing w:after="40"/>
        <w:ind w:left="360"/>
      </w:pPr>
      <w:r>
        <w:rPr>
          <w:color w:val="1A1A1A"/>
          <w:sz w:val="18"/>
        </w:rPr>
        <w:t>•  Coordinated across departments to fulfill member requests and resolve non-routine service issues, improving resolution time by 10%</w:t>
      </w:r>
    </w:p>
    <w:p>
      <w:pPr>
        <w:spacing w:after="40"/>
        <w:ind w:left="360"/>
      </w:pPr>
      <w:r>
        <w:rPr>
          <w:color w:val="1A1A1A"/>
          <w:sz w:val="18"/>
        </w:rPr>
        <w:t>•  Maintained organized operational records, equipment rotation schedules, and condition documentation with consistent attention to detail and accuracy</w:t>
      </w:r>
    </w:p>
    <w:p>
      <w:pPr>
        <w:spacing w:before="200" w:after="0"/>
      </w:pPr>
      <w:r>
        <w:rPr>
          <w:b/>
          <w:color w:val="1A1A1A"/>
          <w:sz w:val="22"/>
        </w:rPr>
        <w:t>EMPLOYMENT HISTORY</w:t>
      </w:r>
    </w:p>
    <w:p>
      <w:pPr>
        <w:spacing w:before="0" w:after="80"/>
        <w:pBdr>
          <w:bottom w:val="single" w:sz="6" w:space="1" w:color="C8A951"/>
        </w:pBdr>
      </w:pPr>
    </w:p>
    <w:p>
      <w:pPr>
        <w:spacing w:after="40"/>
      </w:pPr>
      <w:r>
        <w:rPr>
          <w:b/>
          <w:color w:val="1A1A1A"/>
          <w:sz w:val="18"/>
        </w:rPr>
        <w:t>Operations &amp; Logistics</w:t>
      </w:r>
      <w:r>
        <w:rPr>
          <w:color w:val="555555"/>
          <w:sz w:val="18"/>
        </w:rPr>
        <w:t xml:space="preserve"> | Bayou DeSiard Country Club</w:t>
      </w:r>
      <w:r>
        <w:rPr>
          <w:color w:val="555555"/>
          <w:sz w:val="18"/>
        </w:rPr>
        <w:t xml:space="preserve">    2025</w:t>
      </w:r>
    </w:p>
    <w:p>
      <w:pPr>
        <w:spacing w:after="40"/>
      </w:pPr>
      <w:r>
        <w:rPr>
          <w:b/>
          <w:color w:val="1A1A1A"/>
          <w:sz w:val="18"/>
        </w:rPr>
        <w:t>Accountant</w:t>
      </w:r>
      <w:r>
        <w:rPr>
          <w:color w:val="555555"/>
          <w:sz w:val="18"/>
        </w:rPr>
        <w:t xml:space="preserve"> | Little and Associates, LLC</w:t>
      </w:r>
      <w:r>
        <w:rPr>
          <w:color w:val="555555"/>
          <w:sz w:val="18"/>
        </w:rPr>
        <w:t xml:space="preserve">    2020 – 2023</w:t>
      </w:r>
    </w:p>
    <w:p>
      <w:pPr>
        <w:spacing w:after="40"/>
      </w:pPr>
      <w:r>
        <w:rPr>
          <w:b/>
          <w:color w:val="1A1A1A"/>
          <w:sz w:val="18"/>
        </w:rPr>
        <w:t>Sales Associate</w:t>
      </w:r>
      <w:r>
        <w:rPr>
          <w:color w:val="555555"/>
          <w:sz w:val="18"/>
        </w:rPr>
        <w:t xml:space="preserve"> | Office Depot</w:t>
      </w:r>
      <w:r>
        <w:rPr>
          <w:color w:val="555555"/>
          <w:sz w:val="18"/>
        </w:rPr>
        <w:t xml:space="preserve">    2020 – Present</w:t>
      </w:r>
    </w:p>
    <w:p>
      <w:pPr>
        <w:spacing w:before="200" w:after="0"/>
      </w:pPr>
      <w:r>
        <w:rPr>
          <w:b/>
          <w:color w:val="1A1A1A"/>
          <w:sz w:val="22"/>
        </w:rPr>
        <w:t>CREDENTIALS &amp; EDUCATION</w:t>
      </w:r>
    </w:p>
    <w:p>
      <w:pPr>
        <w:spacing w:before="0" w:after="80"/>
        <w:pBdr>
          <w:bottom w:val="single" w:sz="6" w:space="1" w:color="C8A951"/>
        </w:pBdr>
      </w:pPr>
    </w:p>
    <w:p>
      <w:pPr>
        <w:spacing w:after="80"/>
      </w:pPr>
      <w:r>
        <w:rPr>
          <w:sz w:val="17"/>
        </w:rPr>
        <w:t>Licensed CPA (Arkansas &amp; Louisiana)  •  Arkansas Bar License  •  J.D., University of Arkansas  •  B.Accy., University of Mississippi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