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4cdd4eab0d46283012d4f6c8007981bdf92472"/>
    <w:p>
      <w:pPr>
        <w:pStyle w:val="Heading1"/>
      </w:pPr>
      <w:r>
        <w:t xml:space="preserve">How a Walmart Backroom Stocker with a Law Degree Broke a $10 Billion Fintech’s Brain</w:t>
      </w:r>
    </w:p>
    <w:p>
      <w:pPr>
        <w:pStyle w:val="FirstParagraph"/>
      </w:pPr>
      <w:r>
        <w:rPr>
          <w:b/>
          <w:bCs/>
        </w:rPr>
        <w:t xml:space="preserve">By Chase Kinslow (aka Booger Two Shoes), J.D., C.P.A.</w:t>
      </w:r>
      <w:r>
        <w:br/>
      </w:r>
      <w:r>
        <w:rPr>
          <w:i/>
          <w:iCs/>
        </w:rPr>
        <w:t xml:space="preserve">Originally published on Substack &amp; The Kinslow Regulatory Archive</w:t>
      </w:r>
      <w:r>
        <w:br/>
      </w:r>
      <w:r>
        <w:rPr>
          <w:i/>
          <w:iCs/>
        </w:rPr>
        <w:t xml:space="preserve">Full Certified Evidence Vault: https://kinslow-regulatory-archive.org/</w:t>
      </w:r>
    </w:p>
    <w:p>
      <w:r>
        <w:pict>
          <v:rect style="width:0;height:1.5pt" o:hralign="center" o:hrstd="t" o:hr="t"/>
        </w:pict>
      </w:r>
    </w:p>
    <w:bookmarkStart w:id="20" w:name="Xfd6d1f612298be9f2eda0db851975bb6c4ae244"/>
    <w:p>
      <w:pPr>
        <w:pStyle w:val="Heading3"/>
      </w:pPr>
      <w:r>
        <w:t xml:space="preserve">Prologue: Silicon Valley’s Favorite Fairy Tale</w:t>
      </w:r>
    </w:p>
    <w:p>
      <w:pPr>
        <w:pStyle w:val="FirstParagraph"/>
      </w:pPr>
      <w:r>
        <w:t xml:space="preserve">In Silicon Valley pitch decks, Buy Now, Pay Later (BNPL) platforms are sold as frictionless financial democracy: sleek mobile apps, instant algorithmic approvals, and effortless shopping.</w:t>
      </w:r>
    </w:p>
    <w:p>
      <w:pPr>
        <w:pStyle w:val="BodyText"/>
      </w:pPr>
      <w:r>
        <w:t xml:space="preserve">What they don’t tell you on their landing pages is what happens when their automated plumbing encounters a single human being who actually knows how accounting ledgers work.</w:t>
      </w:r>
    </w:p>
    <w:p>
      <w:pPr>
        <w:pStyle w:val="BodyText"/>
      </w:pPr>
      <w:r>
        <w:t xml:space="preserve">This is the true, certified paper trail of what happened when Affirm (NASDAQ: AFRM), their managing counsel, outside counsel Morgan Lewis &amp; Bockius, and an army of automated chatbots tangled with an everyday worker stocking backroom shelves at a local Walmart in Monroe, Louisiana.</w:t>
      </w:r>
    </w:p>
    <w:p>
      <w:r>
        <w:pict>
          <v:rect style="width:0;height:1.5pt" o:hralign="center" o:hrstd="t" o:hr="t"/>
        </w:pict>
      </w:r>
    </w:p>
    <w:bookmarkEnd w:id="20"/>
    <w:bookmarkStart w:id="21" w:name="act-i-the-86-minute-investigation"/>
    <w:p>
      <w:pPr>
        <w:pStyle w:val="Heading3"/>
      </w:pPr>
      <w:r>
        <w:t xml:space="preserve">Act I: The 86-Minute</w:t>
      </w:r>
      <w:r>
        <w:t xml:space="preserve"> </w:t>
      </w:r>
      <w:r>
        <w:t xml:space="preserve">“</w:t>
      </w:r>
      <w:r>
        <w:t xml:space="preserve">Investigation</w:t>
      </w:r>
      <w:r>
        <w:t xml:space="preserve">”</w:t>
      </w:r>
    </w:p>
    <w:p>
      <w:pPr>
        <w:pStyle w:val="FirstParagraph"/>
      </w:pPr>
      <w:r>
        <w:t xml:space="preserve">On July 7, an unauthorized charge popped up on an Affirm single-use virtual card.</w:t>
      </w:r>
    </w:p>
    <w:p>
      <w:pPr>
        <w:pStyle w:val="BodyText"/>
      </w:pPr>
      <w:r>
        <w:t xml:space="preserve">The logistics data from OnTrac was clear as day: the package was shipped to an address in California—over 2,000 miles away from my living room in Louisiana.</w:t>
      </w:r>
    </w:p>
    <w:p>
      <w:pPr>
        <w:pStyle w:val="BodyText"/>
      </w:pPr>
      <w:r>
        <w:t xml:space="preserve">On July 10, at 11:15 AM, I went down to the local police station, filed a formal criminal incident report for identity theft (Monroe Police Department Incident Report #26-29572), and uploaded the certified report and carrier tracking logs directly into Affirm’s portal.</w:t>
      </w:r>
    </w:p>
    <w:p>
      <w:pPr>
        <w:pStyle w:val="BodyText"/>
      </w:pPr>
      <w:r>
        <w:t xml:space="preserve">At 12:41 PM—precisely</w:t>
      </w:r>
      <w:r>
        <w:t xml:space="preserve"> </w:t>
      </w:r>
      <w:r>
        <w:rPr>
          <w:b/>
          <w:bCs/>
        </w:rPr>
        <w:t xml:space="preserve">86 minutes later</w:t>
      </w:r>
      <w:r>
        <w:t xml:space="preserve">—their automated dispute bot pinged my inbox:</w:t>
      </w:r>
    </w:p>
    <w:p>
      <w:pPr>
        <w:pStyle w:val="BlockText"/>
      </w:pPr>
      <w:r>
        <w:rPr>
          <w:i/>
          <w:iCs/>
        </w:rPr>
        <w:t xml:space="preserve">“</w:t>
      </w:r>
      <w:r>
        <w:rPr>
          <w:i/>
          <w:iCs/>
        </w:rPr>
        <w:t xml:space="preserve">After reviewing the information provided, we have resolved this dispute in the merchant’s favor. You remain responsible for the outstanding balance.</w:t>
      </w:r>
      <w:r>
        <w:rPr>
          <w:i/>
          <w:iCs/>
        </w:rPr>
        <w:t xml:space="preserve">”</w:t>
      </w:r>
    </w:p>
    <w:p>
      <w:pPr>
        <w:pStyle w:val="FirstParagraph"/>
      </w:pPr>
      <w:r>
        <w:t xml:space="preserve">Eighty-six minutes.</w:t>
      </w:r>
    </w:p>
    <w:p>
      <w:pPr>
        <w:pStyle w:val="BodyText"/>
      </w:pPr>
      <w:r>
        <w:t xml:space="preserve">Nobody opened the police report PDF. Nobody looked at the California tracking number. The bot saw a dispute, protected the merchant transaction fee, and hit the big red</w:t>
      </w:r>
      <w:r>
        <w:t xml:space="preserve"> </w:t>
      </w:r>
      <w:r>
        <w:t xml:space="preserve">“</w:t>
      </w:r>
      <w:r>
        <w:t xml:space="preserve">DENIED</w:t>
      </w:r>
      <w:r>
        <w:t xml:space="preserve">”</w:t>
      </w:r>
      <w:r>
        <w:t xml:space="preserve"> </w:t>
      </w:r>
      <w:r>
        <w:t xml:space="preserve">button before a human being could even finish their lunch break.</w:t>
      </w:r>
    </w:p>
    <w:p>
      <w:r>
        <w:pict>
          <v:rect style="width:0;height:1.5pt" o:hralign="center" o:hrstd="t" o:hr="t"/>
        </w:pict>
      </w:r>
    </w:p>
    <w:bookmarkEnd w:id="21"/>
    <w:bookmarkStart w:id="22" w:name="X091908f6f83aa4916ef294fe460d411f2dda328"/>
    <w:p>
      <w:pPr>
        <w:pStyle w:val="Heading3"/>
      </w:pPr>
      <w:r>
        <w:t xml:space="preserve">Act II: You’re 100% Right, So We’re Locking Your App</w:t>
      </w:r>
    </w:p>
    <w:p>
      <w:pPr>
        <w:pStyle w:val="FirstParagraph"/>
      </w:pPr>
      <w:r>
        <w:t xml:space="preserve">When you bypass the chatbot tier and push the issue up the executive ladder, corporate resolutions teams are eventually forced to look at the actual paperwork.</w:t>
      </w:r>
    </w:p>
    <w:p>
      <w:pPr>
        <w:pStyle w:val="BodyText"/>
      </w:pPr>
      <w:r>
        <w:t xml:space="preserve">On July 16, Affirm’s executive team conceded the fraud in writing:</w:t>
      </w:r>
    </w:p>
    <w:p>
      <w:pPr>
        <w:pStyle w:val="BlockText"/>
      </w:pPr>
      <w:r>
        <w:rPr>
          <w:i/>
          <w:iCs/>
        </w:rPr>
        <w:t xml:space="preserve">“</w:t>
      </w:r>
      <w:r>
        <w:rPr>
          <w:i/>
          <w:iCs/>
        </w:rPr>
        <w:t xml:space="preserve">We have concluded our review of your claim and determined that this transaction was unauthorized. Your account balance has been updated to reflect zero liability.</w:t>
      </w:r>
      <w:r>
        <w:rPr>
          <w:i/>
          <w:iCs/>
        </w:rPr>
        <w:t xml:space="preserve">”</w:t>
      </w:r>
    </w:p>
    <w:p>
      <w:pPr>
        <w:pStyle w:val="FirstParagraph"/>
      </w:pPr>
      <w:r>
        <w:t xml:space="preserve">You would think that would be the end of the story. In a rational world, you shake hands, the zero balance is recorded, and everyone moves on.</w:t>
      </w:r>
    </w:p>
    <w:p>
      <w:pPr>
        <w:pStyle w:val="BodyText"/>
      </w:pPr>
      <w:r>
        <w:t xml:space="preserve">Instead, we entered the Twilight Zone of fintech ledger spaghetti.</w:t>
      </w:r>
    </w:p>
    <w:p>
      <w:pPr>
        <w:pStyle w:val="BodyText"/>
      </w:pPr>
      <w:r>
        <w:t xml:space="preserve">Because the credit originated internally on a single-use virtual card rather than through a traditional card network chargeback, Affirm’s backend accounting system had no idea how to reconcile the refund against other active installment loans.</w:t>
      </w:r>
    </w:p>
    <w:p>
      <w:pPr>
        <w:pStyle w:val="BodyText"/>
      </w:pPr>
      <w:r>
        <w:t xml:space="preserve">The very next day, Affirm Managing Counsel Andy Chen intervened. But instead of fixing their internal ledger breakdown, counsel directed operational staff to</w:t>
      </w:r>
      <w:r>
        <w:t xml:space="preserve"> </w:t>
      </w:r>
      <w:r>
        <w:rPr>
          <w:b/>
          <w:bCs/>
        </w:rPr>
        <w:t xml:space="preserve">lock my user account</w:t>
      </w:r>
      <w:r>
        <w:t xml:space="preserve">.</w:t>
      </w:r>
    </w:p>
    <w:p>
      <w:pPr>
        <w:pStyle w:val="BodyText"/>
      </w:pPr>
      <w:r>
        <w:t xml:space="preserve">The comedy that followed was breathtaking:</w:t>
      </w:r>
      <w:r>
        <w:t xml:space="preserve"> </w:t>
      </w:r>
      <w:r>
        <w:t xml:space="preserve">1.</w:t>
      </w:r>
      <w:r>
        <w:t xml:space="preserve"> </w:t>
      </w:r>
      <w:r>
        <w:rPr>
          <w:b/>
          <w:bCs/>
        </w:rPr>
        <w:t xml:space="preserve">The In-App Payment Rails Were Killed</w:t>
      </w:r>
      <w:r>
        <w:t xml:space="preserve">: I could no longer click</w:t>
      </w:r>
      <w:r>
        <w:t xml:space="preserve"> </w:t>
      </w:r>
      <w:r>
        <w:t xml:space="preserve">“</w:t>
      </w:r>
      <w:r>
        <w:t xml:space="preserve">Pay</w:t>
      </w:r>
      <w:r>
        <w:t xml:space="preserve">”</w:t>
      </w:r>
      <w:r>
        <w:t xml:space="preserve"> </w:t>
      </w:r>
      <w:r>
        <w:t xml:space="preserve">on my other active, on-time, performing installment loans.</w:t>
      </w:r>
      <w:r>
        <w:t xml:space="preserve"> </w:t>
      </w:r>
      <w:r>
        <w:t xml:space="preserve">2.</w:t>
      </w:r>
      <w:r>
        <w:t xml:space="preserve"> </w:t>
      </w:r>
      <w:r>
        <w:rPr>
          <w:b/>
          <w:bCs/>
        </w:rPr>
        <w:t xml:space="preserve">The Collection Engine Kept Blasting</w:t>
      </w:r>
      <w:r>
        <w:t xml:space="preserve">: While their legal team had my app locked down, their automated collections server sent daily threatening emails warning of late fees and credit bureau damage on the very loans they wouldn’t let me pay.</w:t>
      </w:r>
      <w:r>
        <w:t xml:space="preserve"> </w:t>
      </w:r>
      <w:r>
        <w:t xml:space="preserve">3.</w:t>
      </w:r>
      <w:r>
        <w:t xml:space="preserve"> </w:t>
      </w:r>
      <w:r>
        <w:rPr>
          <w:b/>
          <w:bCs/>
        </w:rPr>
        <w:t xml:space="preserve">The Marketing Engine Kept Selling</w:t>
      </w:r>
      <w:r>
        <w:t xml:space="preserve">: While their legal team insisted my account was</w:t>
      </w:r>
      <w:r>
        <w:t xml:space="preserve"> </w:t>
      </w:r>
      <w:r>
        <w:t xml:space="preserve">“</w:t>
      </w:r>
      <w:r>
        <w:t xml:space="preserve">frozen,</w:t>
      </w:r>
      <w:r>
        <w:t xml:space="preserve">”</w:t>
      </w:r>
      <w:r>
        <w:t xml:space="preserve"> </w:t>
      </w:r>
      <w:r>
        <w:t xml:space="preserve">their automated marketing engine sent me a steady stream of emails recommending brand-new luxury retail items to buy with my next installment loan.</w:t>
      </w:r>
    </w:p>
    <w:p>
      <w:pPr>
        <w:pStyle w:val="BodyText"/>
      </w:pPr>
      <w:r>
        <w:t xml:space="preserve">As I politely asked Mr. Chen at the time:</w:t>
      </w:r>
      <w:r>
        <w:t xml:space="preserve"> </w:t>
      </w:r>
      <w:r>
        <w:rPr>
          <w:i/>
          <w:iCs/>
        </w:rPr>
        <w:t xml:space="preserve">Does</w:t>
      </w:r>
      <w:r>
        <w:rPr>
          <w:i/>
          <w:iCs/>
        </w:rPr>
        <w:t xml:space="preserve"> </w:t>
      </w:r>
      <w:r>
        <w:rPr>
          <w:i/>
          <w:iCs/>
        </w:rPr>
        <w:t xml:space="preserve">“</w:t>
      </w:r>
      <w:r>
        <w:rPr>
          <w:i/>
          <w:iCs/>
        </w:rPr>
        <w:t xml:space="preserve">frozen</w:t>
      </w:r>
      <w:r>
        <w:rPr>
          <w:i/>
          <w:iCs/>
        </w:rPr>
        <w:t xml:space="preserve">”</w:t>
      </w:r>
      <w:r>
        <w:rPr>
          <w:i/>
          <w:iCs/>
        </w:rPr>
        <w:t xml:space="preserve"> </w:t>
      </w:r>
      <w:r>
        <w:rPr>
          <w:i/>
          <w:iCs/>
        </w:rPr>
        <w:t xml:space="preserve">in Affirm’s context suggest an initial state that precedes melting and liquefaction, like in nature?</w:t>
      </w:r>
    </w:p>
    <w:p>
      <w:r>
        <w:pict>
          <v:rect style="width:0;height:1.5pt" o:hralign="center" o:hrstd="t" o:hr="t"/>
        </w:pict>
      </w:r>
    </w:p>
    <w:bookmarkEnd w:id="22"/>
    <w:bookmarkStart w:id="23" w:name="X0674771c83eb86ec23de88c889fdfb056e87f0a"/>
    <w:p>
      <w:pPr>
        <w:pStyle w:val="Heading3"/>
      </w:pPr>
      <w:r>
        <w:t xml:space="preserve">Act III: The Federal Reserve Bank BillPay Flank</w:t>
      </w:r>
    </w:p>
    <w:p>
      <w:pPr>
        <w:pStyle w:val="FirstParagraph"/>
      </w:pPr>
      <w:r>
        <w:t xml:space="preserve">When a multi-billion-dollar platform locks your interface and threatens to trash your credit score for non-payment, they expect you to spend 15 hours crying on the phone to an offshore call center.</w:t>
      </w:r>
    </w:p>
    <w:p>
      <w:pPr>
        <w:pStyle w:val="BodyText"/>
      </w:pPr>
      <w:r>
        <w:t xml:space="preserve">They did not expect a backroom Walmart stocker with a CPA license.</w:t>
      </w:r>
    </w:p>
    <w:p>
      <w:pPr>
        <w:pStyle w:val="BodyText"/>
      </w:pPr>
      <w:r>
        <w:t xml:space="preserve">Instead of playing in their broken app sandbox, I bypassed Affirm entirely.</w:t>
      </w:r>
    </w:p>
    <w:p>
      <w:pPr>
        <w:pStyle w:val="BodyText"/>
      </w:pPr>
      <w:r>
        <w:t xml:space="preserve">I set up direct payment routing through my bank’s external Online BillPay infrastructure using Affirm’s corporate Lockbox and ACH routing credentials. Every time a monthly installment came due, funds moved directly across Federal Reserve clearing rails.</w:t>
      </w:r>
    </w:p>
    <w:p>
      <w:pPr>
        <w:pStyle w:val="BodyText"/>
      </w:pPr>
      <w:r>
        <w:t xml:space="preserve">The result?</w:t>
      </w:r>
      <w:r>
        <w:t xml:space="preserve"> </w:t>
      </w:r>
      <w:r>
        <w:t xml:space="preserve">* The loans were legally paid.</w:t>
      </w:r>
      <w:r>
        <w:t xml:space="preserve"> </w:t>
      </w:r>
      <w:r>
        <w:t xml:space="preserve">* The funds were deposited into their corporate accounts.</w:t>
      </w:r>
      <w:r>
        <w:t xml:space="preserve"> </w:t>
      </w:r>
      <w:r>
        <w:t xml:space="preserve">* Every subsequent automated collection threat they sent became an open-and-shut statutory violation of federal debt collection and consumer protection laws (Regulation Z &amp; UDAAP).</w:t>
      </w:r>
    </w:p>
    <w:p>
      <w:r>
        <w:pict>
          <v:rect style="width:0;height:1.5pt" o:hralign="center" o:hrstd="t" o:hr="t"/>
        </w:pict>
      </w:r>
    </w:p>
    <w:bookmarkEnd w:id="23"/>
    <w:bookmarkStart w:id="24" w:name="X5839b23257938842514465ef3277a8c0baa46ba"/>
    <w:p>
      <w:pPr>
        <w:pStyle w:val="Heading3"/>
      </w:pPr>
      <w:r>
        <w:t xml:space="preserve">Act IV: The AmLaw 10 Retainer Over a $104 Dispute</w:t>
      </w:r>
    </w:p>
    <w:p>
      <w:pPr>
        <w:pStyle w:val="FirstParagraph"/>
      </w:pPr>
      <w:r>
        <w:t xml:space="preserve">Rather than simply admitting an internal software bug, Affirm did what any reasonable tech giant would do: they retained outside counsel from</w:t>
      </w:r>
      <w:r>
        <w:t xml:space="preserve"> </w:t>
      </w:r>
      <w:r>
        <w:rPr>
          <w:b/>
          <w:bCs/>
        </w:rPr>
        <w:t xml:space="preserve">Morgan, Lewis &amp; Bockius LLP</w:t>
      </w:r>
      <w:r>
        <w:t xml:space="preserve">—one of the largest and most expensive law firms in the world.</w:t>
      </w:r>
    </w:p>
    <w:p>
      <w:pPr>
        <w:pStyle w:val="BodyText"/>
      </w:pPr>
      <w:r>
        <w:t xml:space="preserve">Think about the economics: paying partners hundreds of dollars an hour to write Cease and Desist letters over a dispute where they had already admitted zero consumer liability in writing.</w:t>
      </w:r>
    </w:p>
    <w:p>
      <w:pPr>
        <w:pStyle w:val="BodyText"/>
      </w:pPr>
      <w:r>
        <w:t xml:space="preserve">When they filed contradictory statements on the federal CFPB portal claiming I had refused to pay, I lodged formal sworn rebuttals citing 18 U.S.C. § 1001 (which makes false statements to federal agencies a federal crime).</w:t>
      </w:r>
    </w:p>
    <w:p>
      <w:pPr>
        <w:pStyle w:val="BodyText"/>
      </w:pPr>
      <w:r>
        <w:t xml:space="preserve">When you show up with certified bank ACH trace logs, police reports, and carrier affidavits, corporate legal posturing evaporates very quickly.</w:t>
      </w:r>
    </w:p>
    <w:p>
      <w:r>
        <w:pict>
          <v:rect style="width:0;height:1.5pt" o:hralign="center" o:hrstd="t" o:hr="t"/>
        </w:pict>
      </w:r>
    </w:p>
    <w:bookmarkEnd w:id="24"/>
    <w:bookmarkStart w:id="25" w:name="X7d202e0102b8839159ccde7dd38fdb9ba4dd845"/>
    <w:p>
      <w:pPr>
        <w:pStyle w:val="Heading3"/>
      </w:pPr>
      <w:r>
        <w:t xml:space="preserve">Act V: The Structural Reality Behind the Curtain</w:t>
      </w:r>
    </w:p>
    <w:p>
      <w:pPr>
        <w:pStyle w:val="FirstParagraph"/>
      </w:pPr>
      <w:r>
        <w:t xml:space="preserve">Beyond the comedy of this individual dispute lies a massive macroeconomic reality that Wall Street and federal regulators are now waking up to:</w:t>
      </w:r>
    </w:p>
    <w:p>
      <w:pPr>
        <w:pStyle w:val="Compact"/>
        <w:numPr>
          <w:ilvl w:val="0"/>
          <w:numId w:val="1001"/>
        </w:numPr>
      </w:pPr>
      <w:r>
        <w:rPr>
          <w:b/>
          <w:bCs/>
        </w:rPr>
        <w:t xml:space="preserve">The 71% Interest Secret</w:t>
      </w:r>
      <w:r>
        <w:t xml:space="preserve">: BNPL is sold to the public as cute</w:t>
      </w:r>
      <w:r>
        <w:t xml:space="preserve"> </w:t>
      </w:r>
      <w:r>
        <w:t xml:space="preserve">“</w:t>
      </w:r>
      <w:r>
        <w:t xml:space="preserve">0% Pay-in-4</w:t>
      </w:r>
      <w:r>
        <w:t xml:space="preserve">”</w:t>
      </w:r>
      <w:r>
        <w:t xml:space="preserve"> </w:t>
      </w:r>
      <w:r>
        <w:t xml:space="preserve">micro-loans. In reality,</w:t>
      </w:r>
      <w:r>
        <w:t xml:space="preserve"> </w:t>
      </w:r>
      <w:r>
        <w:rPr>
          <w:b/>
          <w:bCs/>
        </w:rPr>
        <w:t xml:space="preserve">71% of Affirm’s gross merchandise volume carries interest</w:t>
      </w:r>
      <w:r>
        <w:t xml:space="preserve">, with APRs reaching as high as</w:t>
      </w:r>
      <w:r>
        <w:t xml:space="preserve"> </w:t>
      </w:r>
      <w:r>
        <w:rPr>
          <w:b/>
          <w:bCs/>
        </w:rPr>
        <w:t xml:space="preserve">36.99%</w:t>
      </w:r>
      <w:r>
        <w:t xml:space="preserve">—higher than standard credit cards.</w:t>
      </w:r>
    </w:p>
    <w:p>
      <w:pPr>
        <w:pStyle w:val="Compact"/>
        <w:numPr>
          <w:ilvl w:val="0"/>
          <w:numId w:val="1001"/>
        </w:numPr>
      </w:pPr>
      <w:r>
        <w:rPr>
          <w:b/>
          <w:bCs/>
        </w:rPr>
        <w:t xml:space="preserve">The $214 Million Credit Loss Surge</w:t>
      </w:r>
      <w:r>
        <w:t xml:space="preserve">: In Q2 2026, Affirm’s credit loss provisions surged</w:t>
      </w:r>
      <w:r>
        <w:t xml:space="preserve"> </w:t>
      </w:r>
      <w:r>
        <w:rPr>
          <w:b/>
          <w:bCs/>
        </w:rPr>
        <w:t xml:space="preserve">40% year-over-year to $214 Million</w:t>
      </w:r>
      <w:r>
        <w:t xml:space="preserve"> </w:t>
      </w:r>
      <w:r>
        <w:t xml:space="preserve">as consumer delinquencies climbed.</w:t>
      </w:r>
    </w:p>
    <w:p>
      <w:pPr>
        <w:pStyle w:val="Compact"/>
        <w:numPr>
          <w:ilvl w:val="0"/>
          <w:numId w:val="1001"/>
        </w:numPr>
      </w:pPr>
      <w:r>
        <w:rPr>
          <w:b/>
          <w:bCs/>
        </w:rPr>
        <w:t xml:space="preserve">Virtual Card Ghost Accounting</w:t>
      </w:r>
      <w:r>
        <w:t xml:space="preserve">: Single-use virtual card tokens expire upon generation. When refunds or returns happen, funds often sit trapped in internal</w:t>
      </w:r>
      <w:r>
        <w:t xml:space="preserve"> </w:t>
      </w:r>
      <w:r>
        <w:t xml:space="preserve">“</w:t>
      </w:r>
      <w:r>
        <w:t xml:space="preserve">suspense pools,</w:t>
      </w:r>
      <w:r>
        <w:t xml:space="preserve">”</w:t>
      </w:r>
      <w:r>
        <w:t xml:space="preserve"> </w:t>
      </w:r>
      <w:r>
        <w:t xml:space="preserve">creating severe internal control and balance sheet friction.</w:t>
      </w:r>
    </w:p>
    <w:p>
      <w:pPr>
        <w:pStyle w:val="Compact"/>
        <w:numPr>
          <w:ilvl w:val="0"/>
          <w:numId w:val="1001"/>
        </w:numPr>
      </w:pPr>
      <w:r>
        <w:rPr>
          <w:b/>
          <w:bCs/>
        </w:rPr>
        <w:t xml:space="preserve">The 2026 CFPB Rulemaking Wave</w:t>
      </w:r>
      <w:r>
        <w:t xml:space="preserve">: Federal regulators are currently finalizing rules to classify BNPL lenders under Regulation Z (12 C.F.R. § 1026.13)—meaning they will finally be legally forced to provide the same 60-day billing error and dispute protections that traditional credit card issuers have had for decades.</w:t>
      </w:r>
    </w:p>
    <w:p>
      <w:r>
        <w:pict>
          <v:rect style="width:0;height:1.5pt" o:hralign="center" o:hrstd="t" o:hr="t"/>
        </w:pict>
      </w:r>
    </w:p>
    <w:bookmarkEnd w:id="25"/>
    <w:bookmarkStart w:id="26" w:name="X2cd74fd941e8df5effe9f43ae31aefc169d8259"/>
    <w:p>
      <w:pPr>
        <w:pStyle w:val="Heading3"/>
      </w:pPr>
      <w:r>
        <w:t xml:space="preserve">The Consumer Survival Playbook: How to Protect Yourself</w:t>
      </w:r>
    </w:p>
    <w:p>
      <w:pPr>
        <w:pStyle w:val="FirstParagraph"/>
      </w:pPr>
      <w:r>
        <w:t xml:space="preserve">If you ever find yourself locked in a dispute with a fintech chatbot, remember these three rules:</w:t>
      </w:r>
    </w:p>
    <w:p>
      <w:pPr>
        <w:pStyle w:val="Compact"/>
        <w:numPr>
          <w:ilvl w:val="0"/>
          <w:numId w:val="1002"/>
        </w:numPr>
      </w:pPr>
      <w:r>
        <w:rPr>
          <w:b/>
          <w:bCs/>
        </w:rPr>
        <w:t xml:space="preserve">Paper Beats Pixels</w:t>
      </w:r>
      <w:r>
        <w:t xml:space="preserve">: Don’t waste your breath arguing with chat widgets. File a local police incident report for identity theft and get certified carrier Proof of Delivery (POD) from UPS, FedEx, or OnTrac. Algorithms are programmed to dismiss consumer complaints; they cannot legally ignore sworn law enforcement dockets.</w:t>
      </w:r>
    </w:p>
    <w:p>
      <w:pPr>
        <w:pStyle w:val="Compact"/>
        <w:numPr>
          <w:ilvl w:val="0"/>
          <w:numId w:val="1002"/>
        </w:numPr>
      </w:pPr>
      <w:r>
        <w:rPr>
          <w:b/>
          <w:bCs/>
        </w:rPr>
        <w:t xml:space="preserve">Route Around Broken Apps</w:t>
      </w:r>
      <w:r>
        <w:t xml:space="preserve">: If an app freezes your payment screen during a dispute, use your bank’s external Online BillPay to send ACH payments directly to the lender’s corporate lockbox. Keep the transaction IDs. It makes it impossible for them to manufacture a default.</w:t>
      </w:r>
    </w:p>
    <w:p>
      <w:pPr>
        <w:pStyle w:val="Compact"/>
        <w:numPr>
          <w:ilvl w:val="0"/>
          <w:numId w:val="1002"/>
        </w:numPr>
      </w:pPr>
      <w:r>
        <w:rPr>
          <w:b/>
          <w:bCs/>
        </w:rPr>
        <w:t xml:space="preserve">Bring the Federal Receipts</w:t>
      </w:r>
      <w:r>
        <w:t xml:space="preserve">: If a lender lies to the CFPB or State Attorney General about your dispute history, submit a sworn evidentiary rebuttal with your bank traces.</w:t>
      </w:r>
    </w:p>
    <w:p>
      <w:r>
        <w:pict>
          <v:rect style="width:0;height:1.5pt" o:hralign="center" o:hrstd="t" o:hr="t"/>
        </w:pict>
      </w:r>
    </w:p>
    <w:bookmarkEnd w:id="26"/>
    <w:bookmarkStart w:id="28" w:name="explore-the-master-evidence-vault"/>
    <w:p>
      <w:pPr>
        <w:pStyle w:val="Heading3"/>
      </w:pPr>
      <w:r>
        <w:t xml:space="preserve">Explore the Master Evidence Vault</w:t>
      </w:r>
    </w:p>
    <w:p>
      <w:pPr>
        <w:pStyle w:val="FirstParagraph"/>
      </w:pPr>
      <w:r>
        <w:t xml:space="preserve">All primary documents—including certified Monroe Police reports, internal managing counsel directives, California Department of Justice letters, SEC whistleblower filings, and interactive legal dispute generators—are open to the public:</w:t>
      </w:r>
    </w:p>
    <w:p>
      <w:pPr>
        <w:pStyle w:val="BodyText"/>
      </w:pPr>
      <w:r>
        <w:t xml:space="preserve">👉</w:t>
      </w:r>
      <w:r>
        <w:t xml:space="preserve"> </w:t>
      </w:r>
      <w:hyperlink r:id="rId27">
        <w:r>
          <w:rPr>
            <w:rStyle w:val="Hyperlink"/>
            <w:b/>
            <w:bCs/>
          </w:rPr>
          <w:t xml:space="preserve">kinslow-regulatory-archive.org</w:t>
        </w:r>
      </w:hyperlink>
    </w:p>
    <w:p>
      <w:r>
        <w:pict>
          <v:rect style="width:0;height:1.5pt" o:hralign="center" o:hrstd="t" o:hr="t"/>
        </w:pict>
      </w:r>
    </w:p>
    <w:p>
      <w:pPr>
        <w:pStyle w:val="FirstParagraph"/>
      </w:pPr>
      <w:r>
        <w:rPr>
          <w:i/>
          <w:iCs/>
        </w:rPr>
        <w:t xml:space="preserve">Charles W. Kinslow IV is an attorney and CPA. When he isn’t analyzing federal regulatory frameworks or forensic accounting ledgers, he works in operations and inventory management in Monroe, Louisiana.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kinslow-regulatory-archive.org" TargetMode="External" /></Relationships>
</file>

<file path=word/_rels/footnotes.xml.rels><?xml version="1.0" encoding="UTF-8"?><Relationships xmlns="http://schemas.openxmlformats.org/package/2006/relationships"><Relationship Type="http://schemas.openxmlformats.org/officeDocument/2006/relationships/hyperlink" Id="rId27" Target="https://kinslow-regulatory-archiv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2026-08-25T12:08:07Z</dcterms:created>
  <dcterms:modified xsi:type="dcterms:W3CDTF">2026-08-25T12:08:07Z</dcterms:modified>
</cp:coreProperties>
</file>

<file path=docProps/custom.xml><?xml version="1.0" encoding="utf-8"?>
<Properties xmlns="http://schemas.openxmlformats.org/officeDocument/2006/custom-properties" xmlns:vt="http://schemas.openxmlformats.org/officeDocument/2006/docPropsVTypes"/>
</file>