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8B0000"/>
          <w:sz w:val="20"/>
        </w:rPr>
        <w:t>SPECIAL LEGAL &amp; ECONOMIC INVESTIGATION</w:t>
      </w:r>
    </w:p>
    <w:p>
      <w:pPr>
        <w:spacing w:before="40" w:after="80"/>
      </w:pPr>
      <w:r>
        <w:rPr>
          <w:rFonts w:ascii="Calibri" w:hAnsi="Calibri"/>
          <w:b/>
          <w:color w:val="112244"/>
          <w:sz w:val="36"/>
        </w:rPr>
        <w:t>The FTA Won. Consumers Lost. Nobody's Coming.</w:t>
        <w:br/>
        <w:t>BNPL’s Economic Mirage, Ghost Debt Stacking, and the Regulatory Circus</w:t>
      </w:r>
    </w:p>
    <w:p>
      <w:pPr>
        <w:spacing w:before="0" w:after="200"/>
      </w:pPr>
      <w:r>
        <w:rPr>
          <w:rFonts w:ascii="Calibri" w:hAnsi="Calibri"/>
          <w:i/>
          <w:color w:val="666666"/>
          <w:sz w:val="20"/>
        </w:rPr>
        <w:t>Financial Technology Association v. CFPB | Case 1:24-cv-02945 (D.D.C.)</w:t>
        <w:br/>
        <w:t>Authored by: Charles W. Kinslow IV, J.D., C.P.A. | Regulatory Archive 2026</w:t>
      </w:r>
    </w:p>
    <w:p>
      <w:pPr>
        <w:spacing w:before="0" w:after="200"/>
        <w:pBdr>
          <w:bottom w:val="single" w:sz="12" w:space="1" w:color="112244"/>
        </w:pBdr>
      </w:pPr>
    </w:p>
    <w:p>
      <w:pPr>
        <w:keepNext/>
        <w:spacing w:before="280" w:after="80"/>
      </w:pPr>
      <w:r>
        <w:rPr>
          <w:rFonts w:ascii="Calibri" w:hAnsi="Calibri"/>
          <w:b/>
          <w:color w:val="112244"/>
          <w:sz w:val="26"/>
        </w:rPr>
        <w:t>I. The Grandstanding Opening: Formalities and the Illusion of Nobility</w:t>
      </w:r>
    </w:p>
    <w:p>
      <w:pPr>
        <w:spacing w:before="0" w:after="100" w:line="276" w:lineRule="auto"/>
      </w:pPr>
      <w:r>
        <w:rPr>
          <w:rFonts w:ascii="Calibri" w:hAnsi="Calibri"/>
          <w:i w:val="0"/>
          <w:color w:val="222222"/>
          <w:sz w:val="21"/>
        </w:rPr>
        <w:t>The Financial Technology Association (FTA)—the lobbying arm for Affirm, Klarna, Block’s Afterpay, and their fintech brethren—supports the CFPB’s stated purpose in ensuring that consumers are provided the necessary disclosures to make an informed decision. And, perhaps even more noble: their professed desire to safeguard everyday borrowers against inaccurate, predatory, and unfair billing practices.</w:t>
      </w:r>
    </w:p>
    <w:p>
      <w:pPr>
        <w:spacing w:before="0" w:after="100" w:line="276" w:lineRule="auto"/>
      </w:pPr>
      <w:r>
        <w:rPr>
          <w:rFonts w:ascii="Calibri" w:hAnsi="Calibri"/>
          <w:i w:val="0"/>
          <w:color w:val="222222"/>
          <w:sz w:val="21"/>
        </w:rPr>
        <w:t>A bold opening move by the FTA: echoing support for a position that would likely receive a ninety-nine percent approval rating, even in these hyper-polarized political times. Who could possibly oppose clarity, refunds for broken toasters, and honest billing?</w:t>
      </w:r>
    </w:p>
    <w:p>
      <w:pPr>
        <w:spacing w:before="0" w:after="100" w:line="276" w:lineRule="auto"/>
      </w:pPr>
      <w:r>
        <w:rPr>
          <w:rFonts w:ascii="Calibri" w:hAnsi="Calibri"/>
          <w:i w:val="0"/>
          <w:color w:val="222222"/>
          <w:sz w:val="21"/>
        </w:rPr>
        <w:t>Now that we’ve disposed of the formalities, let’s pivot to the real issue in this matter: as even the best of intentions can result in disastrous, unintended consequences, the CFPB is required to adhere to the exact same 'bounds of the law' as any other entity or sentient being. Especially since the agency operates with near-supernatural powers—wielded by a single, unelected director with vast rule-making, enforcement, and investigative authority.</w:t>
      </w:r>
    </w:p>
    <w:p>
      <w:pPr>
        <w:spacing w:before="0" w:after="100" w:line="276" w:lineRule="auto"/>
      </w:pPr>
      <w:r>
        <w:rPr>
          <w:rFonts w:ascii="Calibri" w:hAnsi="Calibri"/>
          <w:i w:val="0"/>
          <w:color w:val="222222"/>
          <w:sz w:val="21"/>
        </w:rPr>
        <w:t>To put this administrative behemoth in perspective, consider the track record:</w:t>
      </w:r>
    </w:p>
    <w:p>
      <w:pPr>
        <w:pStyle w:val="ListBullet"/>
        <w:spacing w:before="0" w:after="60" w:line="276" w:lineRule="auto"/>
      </w:pPr>
      <w:r>
        <w:rPr>
          <w:rFonts w:ascii="Calibri" w:hAnsi="Calibri"/>
          <w:b/>
          <w:color w:val="222222"/>
          <w:sz w:val="21"/>
        </w:rPr>
        <w:t xml:space="preserve">CFPB Strike Rate: </w:t>
      </w:r>
      <w:r>
        <w:rPr>
          <w:rFonts w:ascii="Calibri" w:hAnsi="Calibri"/>
          <w:color w:val="222222"/>
          <w:sz w:val="21"/>
        </w:rPr>
        <w:t>Total Enforcement Actions (2011–2024): ~322 total (averaging ~25 per annum). Contrast that with the SEC's ~700 per year, the FTC's 50–70, and State AGs in the thousands.</w:t>
      </w:r>
    </w:p>
    <w:p>
      <w:pPr>
        <w:pStyle w:val="ListBullet"/>
        <w:spacing w:before="0" w:after="60" w:line="276" w:lineRule="auto"/>
      </w:pPr>
      <w:r>
        <w:rPr>
          <w:rFonts w:ascii="Calibri" w:hAnsi="Calibri"/>
          <w:b/>
          <w:color w:val="222222"/>
          <w:sz w:val="21"/>
        </w:rPr>
        <w:t xml:space="preserve">Supervisory Collapse: </w:t>
      </w:r>
      <w:r>
        <w:rPr>
          <w:rFonts w:ascii="Calibri" w:hAnsi="Calibri"/>
          <w:color w:val="222222"/>
          <w:sz w:val="21"/>
        </w:rPr>
        <w:t>Examinations per annum collapsed from a peak of ~600 down to less than 70 in 2026, while touting headline consumer relief figures between $13.5B and $21B.</w:t>
      </w:r>
    </w:p>
    <w:p>
      <w:pPr>
        <w:spacing w:before="0" w:after="100" w:line="276" w:lineRule="auto"/>
      </w:pPr>
      <w:r>
        <w:rPr>
          <w:rFonts w:ascii="Calibri" w:hAnsi="Calibri"/>
          <w:i w:val="0"/>
          <w:color w:val="222222"/>
          <w:sz w:val="21"/>
        </w:rPr>
        <w:t>Clearly, the CFPB harnesses its power to strike whenever the FTA deems it outside the 'bounds of the law' and 'significant.' In its incisive prose, the FTA argues that subjecting BNPL to credit card rules impacts 'financial service providers and consumers in significant ways.' The FTA naturally refuses to expound on its definition of 'significant' because their premise is logically followed by the equally amorphous assertion that significance demands absolute adherence to the Administrative Procedure Act (APA). The APA was enacted in 1946 as a reaction to runaway administrative discretion. I am all for precedent, but in the 75+ years since its inception, the world has fundamentally transformed, and relying on antiquated statutory definitions while ignoring modern economic carnage is an irrelevant line of inquiry.</w:t>
      </w:r>
    </w:p>
    <w:tbl>
      <w:tblPr>
        <w:tblW w:type="auto" w:w="0"/>
        <w:jc w:val="center"/>
        <w:tblLayout w:type="fixed"/>
        <w:tblLook w:firstColumn="1" w:firstRow="1" w:lastColumn="0" w:lastRow="0" w:noHBand="0" w:noVBand="1" w:val="04A0"/>
      </w:tblPr>
      <w:tblGrid>
        <w:gridCol w:w="9360"/>
      </w:tblGrid>
      <w:tr>
        <w:tc>
          <w:tcPr>
            <w:tcW w:type="dxa" w:w="9360"/>
            <w:shd w:fill="F4F6F9"/>
            <w:tcMar>
              <w:top w:w="160" w:type="dxa"/>
              <w:bottom w:w="160" w:type="dxa"/>
              <w:left w:w="200" w:type="dxa"/>
              <w:right w:w="200" w:type="dxa"/>
            </w:tcMar>
            <w:tcBorders>
              <w:top w:val="none"/>
              <w:left w:val="single" w:sz="28" w:space="0" w:color="990000"/>
              <w:bottom w:val="none"/>
              <w:right w:val="none"/>
            </w:tcBorders>
          </w:tcPr>
          <w:p>
            <w:pPr>
              <w:spacing w:before="0" w:after="80" w:line="276" w:lineRule="auto"/>
            </w:pPr>
            <w:r>
              <w:rPr>
                <w:rFonts w:ascii="Calibri" w:hAnsi="Calibri"/>
                <w:b/>
                <w:color w:val="990000"/>
                <w:sz w:val="22"/>
              </w:rPr>
              <w:t>THE CORE REALITY CHECK</w:t>
              <w:br/>
            </w:r>
            <w:r>
              <w:rPr>
                <w:rFonts w:ascii="Calibri" w:hAnsi="Calibri"/>
                <w:color w:val="222222"/>
                <w:sz w:val="20"/>
              </w:rPr>
              <w:t>BNPLs aren't charities. They won't suffer inequities, and added disclosure costs from genuine credit card regulation are simply more than their fragile balance sheets can bear. Their position espouses a corporate mindset that is tragically sad and satirically trite: they demand the lucrative economics of revolving consumer credit while hiding behind 1968 statutory loopholes meant for dry cleaners and shoe cobblers.</w:t>
            </w:r>
          </w:p>
        </w:tc>
      </w:tr>
    </w:tbl>
    <w:p>
      <w:pPr>
        <w:spacing w:before="0" w:after="80"/>
      </w:pPr>
    </w:p>
    <w:p>
      <w:pPr>
        <w:keepNext/>
        <w:spacing w:before="280" w:after="80"/>
      </w:pPr>
      <w:r>
        <w:rPr>
          <w:rFonts w:ascii="Calibri" w:hAnsi="Calibri"/>
          <w:b/>
          <w:color w:val="112244"/>
          <w:sz w:val="26"/>
        </w:rPr>
        <w:t>II. The 15 U.S.C. § 1602(g) Sham: From 'Pay-in-4' to Full-Throttle Debt Traps</w:t>
      </w:r>
    </w:p>
    <w:p>
      <w:pPr>
        <w:spacing w:before="0" w:after="100" w:line="276" w:lineRule="auto"/>
      </w:pPr>
      <w:r>
        <w:rPr>
          <w:rFonts w:ascii="Calibri" w:hAnsi="Calibri"/>
          <w:i w:val="0"/>
          <w:color w:val="222222"/>
          <w:sz w:val="21"/>
        </w:rPr>
        <w:t>The FTA poignantly cites 15 U.S.C. § 1602(g) as defining a 'creditor' according to strict criteria, pointing specifically to statutory text characterizing a creditor as one who extends credit payable by agreement in 'more than four installments' or for which the payment of a 'finance charge' is required. BNPLs may have started by wrapping themselves in the cozy, unregulated blanket of zero-fee 4-installment plans. But look at what Affirm, Klarna, and their peers actually sell today:</w:t>
      </w:r>
    </w:p>
    <w:p>
      <w:pPr>
        <w:pStyle w:val="ListBullet"/>
        <w:spacing w:before="0" w:after="60" w:line="276" w:lineRule="auto"/>
      </w:pPr>
      <w:r>
        <w:rPr>
          <w:rFonts w:ascii="Calibri" w:hAnsi="Calibri"/>
          <w:b/>
          <w:color w:val="222222"/>
          <w:sz w:val="21"/>
        </w:rPr>
        <w:t xml:space="preserve">The Affirm Machine: </w:t>
      </w:r>
      <w:r>
        <w:rPr>
          <w:rFonts w:ascii="Calibri" w:hAnsi="Calibri"/>
          <w:color w:val="222222"/>
          <w:sz w:val="21"/>
        </w:rPr>
        <w:t>Affirm (AFRM): Boasts ~$36 billion in FY25 GMV, but pure Pay-in-4 is just the hook. The core profit engine is 12-, 24-, and 36-month interest-bearing installment loans carrying APRs up to 36%—steeped in merchant-subsidized markups and deep integrations into Apple Wallet and Amazon.</w:t>
      </w:r>
    </w:p>
    <w:p>
      <w:pPr>
        <w:pStyle w:val="ListBullet"/>
        <w:spacing w:before="0" w:after="60" w:line="276" w:lineRule="auto"/>
      </w:pPr>
      <w:r>
        <w:rPr>
          <w:rFonts w:ascii="Calibri" w:hAnsi="Calibri"/>
          <w:b/>
          <w:color w:val="222222"/>
          <w:sz w:val="21"/>
        </w:rPr>
        <w:t xml:space="preserve">Klarna's Provisioning Bloodbath: </w:t>
      </w:r>
      <w:r>
        <w:rPr>
          <w:rFonts w:ascii="Calibri" w:hAnsi="Calibri"/>
          <w:color w:val="222222"/>
          <w:sz w:val="21"/>
        </w:rPr>
        <w:t>Klarna: Burned through its brief $21 million net profit in 2024 to post a devastating -$273 million net loss in FY2025. Why? Because as it aggressively pushed multi-month 'Fair Financing' loans, standard accounting rules (CECL/IFRS 9) forced it to book massive upfront provisions for credit losses, before barely clawing out a $1 million profit in Q1 2026 via brutal AI-driven staff cuts.</w:t>
      </w:r>
    </w:p>
    <w:p>
      <w:pPr>
        <w:pStyle w:val="ListBullet"/>
        <w:spacing w:before="0" w:after="60" w:line="276" w:lineRule="auto"/>
      </w:pPr>
      <w:r>
        <w:rPr>
          <w:rFonts w:ascii="Calibri" w:hAnsi="Calibri"/>
          <w:b/>
          <w:color w:val="222222"/>
          <w:sz w:val="21"/>
        </w:rPr>
        <w:t xml:space="preserve">Afterpay's Overdraft Extraction: </w:t>
      </w:r>
      <w:r>
        <w:rPr>
          <w:rFonts w:ascii="Calibri" w:hAnsi="Calibri"/>
          <w:color w:val="222222"/>
          <w:sz w:val="21"/>
        </w:rPr>
        <w:t>Block / Afterpay: Generates &gt;$1.04 billion in revenue, but relies on ruthless automated ACH debit pulls that repeatedly overdraw depleted checking accounts, shifting default risk directly onto struggling bank depositors.</w:t>
      </w:r>
    </w:p>
    <w:p>
      <w:pPr>
        <w:spacing w:before="0" w:after="100" w:line="276" w:lineRule="auto"/>
      </w:pPr>
      <w:r>
        <w:rPr>
          <w:rFonts w:ascii="Calibri" w:hAnsi="Calibri"/>
          <w:i w:val="0"/>
          <w:color w:val="222222"/>
          <w:sz w:val="21"/>
        </w:rPr>
        <w:t>Why, exactly, are BNPLs up in arms about the compliance costs of adding a standard billing dispute clause or an extra disclosure sentence to clickwrap agreements already in place? Because BNPLs consider themselves entitled to legislative favors. They believe their selfless efforts in leading the 'fintech revolution' will elevate consumer welfare—provided their software doesn't do something unexpected, like exposing millions of sensitive financial records in the Evolve Bank &amp; Trust breach (MDL 2:24-md-03127) or stumbling into systemic credit default.</w:t>
      </w:r>
    </w:p>
    <w:p>
      <w:pPr>
        <w:keepNext/>
        <w:spacing w:before="280" w:after="80"/>
      </w:pPr>
      <w:r>
        <w:rPr>
          <w:rFonts w:ascii="Calibri" w:hAnsi="Calibri"/>
          <w:b/>
          <w:color w:val="112244"/>
          <w:sz w:val="26"/>
        </w:rPr>
        <w:t>III. The Economic Reality: 'Ghost Debt', Survival Borrowing, and Body Bags</w:t>
      </w:r>
    </w:p>
    <w:p>
      <w:pPr>
        <w:spacing w:before="0" w:after="100" w:line="276" w:lineRule="auto"/>
      </w:pPr>
      <w:r>
        <w:rPr>
          <w:rFonts w:ascii="Calibri" w:hAnsi="Calibri"/>
          <w:i w:val="0"/>
          <w:color w:val="222222"/>
          <w:sz w:val="21"/>
        </w:rPr>
        <w:t>Despite their claims of financial novelty, the business models of BNPL providers are near-identical and completely blind to the compounding effect that debt stacking, phantom loans, and eventual regulatory oversight will have on sustained margin losses. Look at the hard empirical data for 2025–2026:</w:t>
      </w:r>
    </w:p>
    <w:p>
      <w:pPr>
        <w:pStyle w:val="ListBullet"/>
        <w:spacing w:before="0" w:after="60" w:line="276" w:lineRule="auto"/>
      </w:pPr>
      <w:r>
        <w:rPr>
          <w:rFonts w:ascii="Calibri" w:hAnsi="Calibri"/>
          <w:b/>
          <w:color w:val="222222"/>
          <w:sz w:val="21"/>
        </w:rPr>
        <w:t xml:space="preserve">Exploding Late Payments: </w:t>
      </w:r>
      <w:r>
        <w:rPr>
          <w:rFonts w:ascii="Calibri" w:hAnsi="Calibri"/>
          <w:color w:val="222222"/>
          <w:sz w:val="21"/>
        </w:rPr>
        <w:t>47% Delinquency Rate: Nearly half (47%) of all BNPL users reported making a late payment in the trailing 12 months—up from 41% in 2025 and 34% in 2024. The narrative of 'disciplined Gen-Z budgeting' is completely dead.</w:t>
      </w:r>
    </w:p>
    <w:p>
      <w:pPr>
        <w:pStyle w:val="ListBullet"/>
        <w:spacing w:before="0" w:after="60" w:line="276" w:lineRule="auto"/>
      </w:pPr>
      <w:r>
        <w:rPr>
          <w:rFonts w:ascii="Calibri" w:hAnsi="Calibri"/>
          <w:b/>
          <w:color w:val="222222"/>
          <w:sz w:val="21"/>
        </w:rPr>
        <w:t xml:space="preserve">Rampant Debt Stacking: </w:t>
      </w:r>
      <w:r>
        <w:rPr>
          <w:rFonts w:ascii="Calibri" w:hAnsi="Calibri"/>
          <w:color w:val="222222"/>
          <w:sz w:val="21"/>
        </w:rPr>
        <w:t>63% Multi-App Loan Stacking: Almost two-thirds of active users hold simultaneous loans across Affirm, Klarna, Afterpay, and Zip. One in four holds three or more concurrent loans. Underwriting engines operate in deliberate silos, blind to the borrower's total leverage.</w:t>
      </w:r>
    </w:p>
    <w:p>
      <w:pPr>
        <w:pStyle w:val="ListBullet"/>
        <w:spacing w:before="0" w:after="60" w:line="276" w:lineRule="auto"/>
      </w:pPr>
      <w:r>
        <w:rPr>
          <w:rFonts w:ascii="Calibri" w:hAnsi="Calibri"/>
          <w:b/>
          <w:color w:val="222222"/>
          <w:sz w:val="21"/>
        </w:rPr>
        <w:t xml:space="preserve">Financing the Dinner Table: </w:t>
      </w:r>
      <w:r>
        <w:rPr>
          <w:rFonts w:ascii="Calibri" w:hAnsi="Calibri"/>
          <w:color w:val="222222"/>
          <w:sz w:val="21"/>
        </w:rPr>
        <w:t>29% of Borrowing is for Groceries: In 2024, groceries represented 14% of volume. In 2026, it is nearly 30%. Over 54% of consumers openly state they use BNPL to buy basic food and keep lights on. This is no longer discretionary shopping; it is subprime survival debt.</w:t>
      </w:r>
    </w:p>
    <w:p>
      <w:pPr>
        <w:pStyle w:val="ListBullet"/>
        <w:spacing w:before="0" w:after="60" w:line="276" w:lineRule="auto"/>
      </w:pPr>
      <w:r>
        <w:rPr>
          <w:rFonts w:ascii="Calibri" w:hAnsi="Calibri"/>
          <w:b/>
          <w:color w:val="222222"/>
          <w:sz w:val="21"/>
        </w:rPr>
        <w:t xml:space="preserve">Credit Bureau Blind Spots: </w:t>
      </w:r>
      <w:r>
        <w:rPr>
          <w:rFonts w:ascii="Calibri" w:hAnsi="Calibri"/>
          <w:color w:val="222222"/>
          <w:sz w:val="21"/>
        </w:rPr>
        <w:t>The 'Ghost Debt' Mirage: Because BNPL loans rely on soft pulls and evade traditional credit bureau reporting, billions in shadow debt remain invisible. The Richmond Federal Reserve and Fitch Ratings are now sounding the alarm: credit scoring models are flying blind.</w:t>
      </w:r>
    </w:p>
    <w:p>
      <w:pPr>
        <w:spacing w:before="160" w:after="60"/>
      </w:pPr>
      <w:r>
        <w:rPr>
          <w:rFonts w:ascii="Calibri" w:hAnsi="Calibri"/>
          <w:b/>
          <w:color w:val="112244"/>
          <w:sz w:val="20"/>
        </w:rPr>
        <w:t>Table 1: BNPL Market Reality — Financial Performance vs. Ground Truth (2024–2026)</w:t>
      </w:r>
    </w:p>
    <w:tbl>
      <w:tblPr>
        <w:tblW w:type="auto" w:w="0"/>
        <w:jc w:val="center"/>
        <w:tblLayout w:type="fixed"/>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340"/>
        <w:gridCol w:w="2340"/>
        <w:gridCol w:w="2340"/>
        <w:gridCol w:w="2340"/>
      </w:tblGrid>
      <w:tr>
        <w:tc>
          <w:tcPr>
            <w:tcW w:type="dxa" w:w="2016"/>
            <w:shd w:fill="112244"/>
            <w:tcMar>
              <w:top w:w="100" w:type="dxa"/>
              <w:bottom w:w="100" w:type="dxa"/>
              <w:left w:w="100" w:type="dxa"/>
              <w:right w:w="100" w:type="dxa"/>
            </w:tcMar>
          </w:tcPr>
          <w:p>
            <w:r>
              <w:rPr>
                <w:rFonts w:ascii="Calibri" w:hAnsi="Calibri"/>
                <w:b/>
                <w:color w:val="FFFFFF"/>
                <w:sz w:val="18"/>
              </w:rPr>
              <w:t>Entity / Segment</w:t>
            </w:r>
          </w:p>
        </w:tc>
        <w:tc>
          <w:tcPr>
            <w:tcW w:type="dxa" w:w="2304"/>
            <w:shd w:fill="112244"/>
            <w:tcMar>
              <w:top w:w="100" w:type="dxa"/>
              <w:bottom w:w="100" w:type="dxa"/>
              <w:left w:w="100" w:type="dxa"/>
              <w:right w:w="100" w:type="dxa"/>
            </w:tcMar>
          </w:tcPr>
          <w:p>
            <w:r>
              <w:rPr>
                <w:rFonts w:ascii="Calibri" w:hAnsi="Calibri"/>
                <w:b/>
                <w:color w:val="FFFFFF"/>
                <w:sz w:val="18"/>
              </w:rPr>
              <w:t>Reported Financial Status</w:t>
            </w:r>
          </w:p>
        </w:tc>
        <w:tc>
          <w:tcPr>
            <w:tcW w:type="dxa" w:w="2448"/>
            <w:shd w:fill="112244"/>
            <w:tcMar>
              <w:top w:w="100" w:type="dxa"/>
              <w:bottom w:w="100" w:type="dxa"/>
              <w:left w:w="100" w:type="dxa"/>
              <w:right w:w="100" w:type="dxa"/>
            </w:tcMar>
          </w:tcPr>
          <w:p>
            <w:r>
              <w:rPr>
                <w:rFonts w:ascii="Calibri" w:hAnsi="Calibri"/>
                <w:b/>
                <w:color w:val="FFFFFF"/>
                <w:sz w:val="18"/>
              </w:rPr>
              <w:t>Underlying Credit Performance</w:t>
            </w:r>
          </w:p>
        </w:tc>
        <w:tc>
          <w:tcPr>
            <w:tcW w:type="dxa" w:w="2592"/>
            <w:shd w:fill="112244"/>
            <w:tcMar>
              <w:top w:w="100" w:type="dxa"/>
              <w:bottom w:w="100" w:type="dxa"/>
              <w:left w:w="100" w:type="dxa"/>
              <w:right w:w="100" w:type="dxa"/>
            </w:tcMar>
          </w:tcPr>
          <w:p>
            <w:r>
              <w:rPr>
                <w:rFonts w:ascii="Calibri" w:hAnsi="Calibri"/>
                <w:b/>
                <w:color w:val="FFFFFF"/>
                <w:sz w:val="18"/>
              </w:rPr>
              <w:t>Legal / Regulatory Reality</w:t>
            </w:r>
          </w:p>
        </w:tc>
      </w:tr>
      <w:tr>
        <w:tc>
          <w:tcPr>
            <w:tcW w:type="dxa" w:w="2016"/>
            <w:shd w:fill="F4F6F9"/>
            <w:tcMar>
              <w:top w:w="80" w:type="dxa"/>
              <w:bottom w:w="80" w:type="dxa"/>
              <w:left w:w="90" w:type="dxa"/>
              <w:right w:w="90" w:type="dxa"/>
            </w:tcMar>
          </w:tcPr>
          <w:p>
            <w:r>
              <w:rPr>
                <w:rFonts w:ascii="Calibri" w:hAnsi="Calibri"/>
                <w:color w:val="222222"/>
                <w:sz w:val="17"/>
              </w:rPr>
              <w:t>Affirm Holdings</w:t>
              <w:br/>
              <w:t>(NASDAQ: AFRM)</w:t>
            </w:r>
          </w:p>
        </w:tc>
        <w:tc>
          <w:tcPr>
            <w:tcW w:type="dxa" w:w="2304"/>
            <w:shd w:fill="F4F6F9"/>
            <w:tcMar>
              <w:top w:w="80" w:type="dxa"/>
              <w:bottom w:w="80" w:type="dxa"/>
              <w:left w:w="90" w:type="dxa"/>
              <w:right w:w="90" w:type="dxa"/>
            </w:tcMar>
          </w:tcPr>
          <w:p>
            <w:r>
              <w:rPr>
                <w:rFonts w:ascii="Calibri" w:hAnsi="Calibri"/>
                <w:color w:val="222222"/>
                <w:sz w:val="17"/>
              </w:rPr>
              <w:t>~$36B FY25 GMV; edging toward GAAP profitability</w:t>
            </w:r>
          </w:p>
        </w:tc>
        <w:tc>
          <w:tcPr>
            <w:tcW w:type="dxa" w:w="2448"/>
            <w:shd w:fill="F4F6F9"/>
            <w:tcMar>
              <w:top w:w="80" w:type="dxa"/>
              <w:bottom w:w="80" w:type="dxa"/>
              <w:left w:w="90" w:type="dxa"/>
              <w:right w:w="90" w:type="dxa"/>
            </w:tcMar>
          </w:tcPr>
          <w:p>
            <w:r>
              <w:rPr>
                <w:rFonts w:ascii="Calibri" w:hAnsi="Calibri"/>
                <w:color w:val="222222"/>
                <w:sz w:val="17"/>
              </w:rPr>
              <w:t>30+ day delinquencies at 2.7%; Pay-in-4 loss &lt;1%; charge-offs ~3.5%</w:t>
            </w:r>
          </w:p>
        </w:tc>
        <w:tc>
          <w:tcPr>
            <w:tcW w:type="dxa" w:w="2592"/>
            <w:shd w:fill="F4F6F9"/>
            <w:tcMar>
              <w:top w:w="80" w:type="dxa"/>
              <w:bottom w:w="80" w:type="dxa"/>
              <w:left w:w="90" w:type="dxa"/>
              <w:right w:w="90" w:type="dxa"/>
            </w:tcMar>
          </w:tcPr>
          <w:p>
            <w:r>
              <w:rPr>
                <w:rFonts w:ascii="Calibri" w:hAnsi="Calibri"/>
                <w:color w:val="222222"/>
                <w:sz w:val="17"/>
              </w:rPr>
              <w:t>Forced into mandatory individual arbitration; Apple/Amazon distribution moat.</w:t>
            </w:r>
          </w:p>
        </w:tc>
      </w:tr>
      <w:tr>
        <w:tc>
          <w:tcPr>
            <w:tcW w:type="dxa" w:w="2016"/>
            <w:shd w:fill="FFFFFF"/>
            <w:tcMar>
              <w:top w:w="80" w:type="dxa"/>
              <w:bottom w:w="80" w:type="dxa"/>
              <w:left w:w="90" w:type="dxa"/>
              <w:right w:w="90" w:type="dxa"/>
            </w:tcMar>
          </w:tcPr>
          <w:p>
            <w:r>
              <w:rPr>
                <w:rFonts w:ascii="Calibri" w:hAnsi="Calibri"/>
                <w:color w:val="222222"/>
                <w:sz w:val="17"/>
              </w:rPr>
              <w:t>Klarna Bank AB</w:t>
            </w:r>
          </w:p>
        </w:tc>
        <w:tc>
          <w:tcPr>
            <w:tcW w:type="dxa" w:w="2304"/>
            <w:shd w:fill="FFFFFF"/>
            <w:tcMar>
              <w:top w:w="80" w:type="dxa"/>
              <w:bottom w:w="80" w:type="dxa"/>
              <w:left w:w="90" w:type="dxa"/>
              <w:right w:w="90" w:type="dxa"/>
            </w:tcMar>
          </w:tcPr>
          <w:p>
            <w:r>
              <w:rPr>
                <w:rFonts w:ascii="Calibri" w:hAnsi="Calibri"/>
                <w:color w:val="222222"/>
                <w:sz w:val="17"/>
              </w:rPr>
              <w:t>$3.5B revenue (+25%), but -$273M loss in 2025; +$1M Q1 2026</w:t>
            </w:r>
          </w:p>
        </w:tc>
        <w:tc>
          <w:tcPr>
            <w:tcW w:type="dxa" w:w="2448"/>
            <w:shd w:fill="FFFFFF"/>
            <w:tcMar>
              <w:top w:w="80" w:type="dxa"/>
              <w:bottom w:w="80" w:type="dxa"/>
              <w:left w:w="90" w:type="dxa"/>
              <w:right w:w="90" w:type="dxa"/>
            </w:tcMar>
          </w:tcPr>
          <w:p>
            <w:r>
              <w:rPr>
                <w:rFonts w:ascii="Calibri" w:hAnsi="Calibri"/>
                <w:color w:val="222222"/>
                <w:sz w:val="17"/>
              </w:rPr>
              <w:t>Crippled by upfront CECL provisions on multi-month lending cohorts</w:t>
            </w:r>
          </w:p>
        </w:tc>
        <w:tc>
          <w:tcPr>
            <w:tcW w:type="dxa" w:w="2592"/>
            <w:shd w:fill="FFFFFF"/>
            <w:tcMar>
              <w:top w:w="80" w:type="dxa"/>
              <w:bottom w:w="80" w:type="dxa"/>
              <w:left w:w="90" w:type="dxa"/>
              <w:right w:w="90" w:type="dxa"/>
            </w:tcMar>
          </w:tcPr>
          <w:p>
            <w:r>
              <w:rPr>
                <w:rFonts w:ascii="Calibri" w:hAnsi="Calibri"/>
                <w:color w:val="222222"/>
                <w:sz w:val="17"/>
              </w:rPr>
              <w:t>Hit with N.D. Ill. predatory lending class action (2026) &amp; Dutch collective suit.</w:t>
            </w:r>
          </w:p>
        </w:tc>
      </w:tr>
      <w:tr>
        <w:tc>
          <w:tcPr>
            <w:tcW w:type="dxa" w:w="2016"/>
            <w:shd w:fill="F4F6F9"/>
            <w:tcMar>
              <w:top w:w="80" w:type="dxa"/>
              <w:bottom w:w="80" w:type="dxa"/>
              <w:left w:w="90" w:type="dxa"/>
              <w:right w:w="90" w:type="dxa"/>
            </w:tcMar>
          </w:tcPr>
          <w:p>
            <w:r>
              <w:rPr>
                <w:rFonts w:ascii="Calibri" w:hAnsi="Calibri"/>
                <w:color w:val="222222"/>
                <w:sz w:val="17"/>
              </w:rPr>
              <w:t>Afterpay (Block)</w:t>
            </w:r>
          </w:p>
        </w:tc>
        <w:tc>
          <w:tcPr>
            <w:tcW w:type="dxa" w:w="2304"/>
            <w:shd w:fill="F4F6F9"/>
            <w:tcMar>
              <w:top w:w="80" w:type="dxa"/>
              <w:bottom w:w="80" w:type="dxa"/>
              <w:left w:w="90" w:type="dxa"/>
              <w:right w:w="90" w:type="dxa"/>
            </w:tcMar>
          </w:tcPr>
          <w:p>
            <w:r>
              <w:rPr>
                <w:rFonts w:ascii="Calibri" w:hAnsi="Calibri"/>
                <w:color w:val="222222"/>
                <w:sz w:val="17"/>
              </w:rPr>
              <w:t>&gt;$1.04B revenue; integrated into Cash App ecosystem</w:t>
            </w:r>
          </w:p>
        </w:tc>
        <w:tc>
          <w:tcPr>
            <w:tcW w:type="dxa" w:w="2448"/>
            <w:shd w:fill="F4F6F9"/>
            <w:tcMar>
              <w:top w:w="80" w:type="dxa"/>
              <w:bottom w:w="80" w:type="dxa"/>
              <w:left w:w="90" w:type="dxa"/>
              <w:right w:w="90" w:type="dxa"/>
            </w:tcMar>
          </w:tcPr>
          <w:p>
            <w:r>
              <w:rPr>
                <w:rFonts w:ascii="Calibri" w:hAnsi="Calibri"/>
                <w:color w:val="222222"/>
                <w:sz w:val="17"/>
              </w:rPr>
              <w:t>Maintains optics by forcing automated debit pulls on empty accounts</w:t>
            </w:r>
          </w:p>
        </w:tc>
        <w:tc>
          <w:tcPr>
            <w:tcW w:type="dxa" w:w="2592"/>
            <w:shd w:fill="F4F6F9"/>
            <w:tcMar>
              <w:top w:w="80" w:type="dxa"/>
              <w:bottom w:w="80" w:type="dxa"/>
              <w:left w:w="90" w:type="dxa"/>
              <w:right w:w="90" w:type="dxa"/>
            </w:tcMar>
          </w:tcPr>
          <w:p>
            <w:r>
              <w:rPr>
                <w:rFonts w:ascii="Calibri" w:hAnsi="Calibri"/>
                <w:color w:val="222222"/>
                <w:sz w:val="17"/>
              </w:rPr>
              <w:t>Defending class actions (Sands v. Afterpay) over cascading bank overdraft fees.</w:t>
            </w:r>
          </w:p>
        </w:tc>
      </w:tr>
      <w:tr>
        <w:tc>
          <w:tcPr>
            <w:tcW w:type="dxa" w:w="2016"/>
            <w:shd w:fill="FFFFFF"/>
            <w:tcMar>
              <w:top w:w="80" w:type="dxa"/>
              <w:bottom w:w="80" w:type="dxa"/>
              <w:left w:w="90" w:type="dxa"/>
              <w:right w:w="90" w:type="dxa"/>
            </w:tcMar>
          </w:tcPr>
          <w:p>
            <w:r>
              <w:rPr>
                <w:rFonts w:ascii="Calibri" w:hAnsi="Calibri"/>
                <w:color w:val="222222"/>
                <w:sz w:val="17"/>
              </w:rPr>
              <w:t>Zip Co (ASX: ZIP)</w:t>
            </w:r>
          </w:p>
        </w:tc>
        <w:tc>
          <w:tcPr>
            <w:tcW w:type="dxa" w:w="2304"/>
            <w:shd w:fill="FFFFFF"/>
            <w:tcMar>
              <w:top w:w="80" w:type="dxa"/>
              <w:bottom w:w="80" w:type="dxa"/>
              <w:left w:w="90" w:type="dxa"/>
              <w:right w:w="90" w:type="dxa"/>
            </w:tcMar>
          </w:tcPr>
          <w:p>
            <w:r>
              <w:rPr>
                <w:rFonts w:ascii="Calibri" w:hAnsi="Calibri"/>
                <w:color w:val="222222"/>
                <w:sz w:val="17"/>
              </w:rPr>
              <w:t>$79.9M NPAT in FY25 (+1,110% YoY) via severe cost cuts</w:t>
            </w:r>
          </w:p>
        </w:tc>
        <w:tc>
          <w:tcPr>
            <w:tcW w:type="dxa" w:w="2448"/>
            <w:shd w:fill="FFFFFF"/>
            <w:tcMar>
              <w:top w:w="80" w:type="dxa"/>
              <w:bottom w:w="80" w:type="dxa"/>
              <w:left w:w="90" w:type="dxa"/>
              <w:right w:w="90" w:type="dxa"/>
            </w:tcMar>
          </w:tcPr>
          <w:p>
            <w:r>
              <w:rPr>
                <w:rFonts w:ascii="Calibri" w:hAnsi="Calibri"/>
                <w:color w:val="222222"/>
                <w:sz w:val="17"/>
              </w:rPr>
              <w:t>U.S. cash driver; tight credit limits applied to prevent toxic write-offs</w:t>
            </w:r>
          </w:p>
        </w:tc>
        <w:tc>
          <w:tcPr>
            <w:tcW w:type="dxa" w:w="2592"/>
            <w:shd w:fill="FFFFFF"/>
            <w:tcMar>
              <w:top w:w="80" w:type="dxa"/>
              <w:bottom w:w="80" w:type="dxa"/>
              <w:left w:w="90" w:type="dxa"/>
              <w:right w:w="90" w:type="dxa"/>
            </w:tcMar>
          </w:tcPr>
          <w:p>
            <w:r>
              <w:rPr>
                <w:rFonts w:ascii="Calibri" w:hAnsi="Calibri"/>
                <w:color w:val="222222"/>
                <w:sz w:val="17"/>
              </w:rPr>
              <w:t>Narrowed operations by fleeing UK/EU to avoid impending regulatory crackdowns.</w:t>
            </w:r>
          </w:p>
        </w:tc>
      </w:tr>
      <w:tr>
        <w:tc>
          <w:tcPr>
            <w:tcW w:type="dxa" w:w="2016"/>
            <w:shd w:fill="F4F6F9"/>
            <w:tcMar>
              <w:top w:w="80" w:type="dxa"/>
              <w:bottom w:w="80" w:type="dxa"/>
              <w:left w:w="90" w:type="dxa"/>
              <w:right w:w="90" w:type="dxa"/>
            </w:tcMar>
          </w:tcPr>
          <w:p>
            <w:r>
              <w:rPr>
                <w:rFonts w:ascii="Calibri" w:hAnsi="Calibri"/>
                <w:color w:val="222222"/>
                <w:sz w:val="17"/>
              </w:rPr>
              <w:t>Laybuy &amp; Openpay</w:t>
              <w:br/>
              <w:t>(The Graveyard)</w:t>
            </w:r>
          </w:p>
        </w:tc>
        <w:tc>
          <w:tcPr>
            <w:tcW w:type="dxa" w:w="2304"/>
            <w:shd w:fill="F4F6F9"/>
            <w:tcMar>
              <w:top w:w="80" w:type="dxa"/>
              <w:bottom w:w="80" w:type="dxa"/>
              <w:left w:w="90" w:type="dxa"/>
              <w:right w:w="90" w:type="dxa"/>
            </w:tcMar>
          </w:tcPr>
          <w:p>
            <w:r>
              <w:rPr>
                <w:rFonts w:ascii="Calibri" w:hAnsi="Calibri"/>
                <w:color w:val="222222"/>
                <w:sz w:val="17"/>
              </w:rPr>
              <w:t>Laybuy: Receivership June 2024</w:t>
              <w:br/>
              <w:t>Openpay: Insolvent liquidation</w:t>
            </w:r>
          </w:p>
        </w:tc>
        <w:tc>
          <w:tcPr>
            <w:tcW w:type="dxa" w:w="2448"/>
            <w:shd w:fill="F4F6F9"/>
            <w:tcMar>
              <w:top w:w="80" w:type="dxa"/>
              <w:bottom w:w="80" w:type="dxa"/>
              <w:left w:w="90" w:type="dxa"/>
              <w:right w:w="90" w:type="dxa"/>
            </w:tcMar>
          </w:tcPr>
          <w:p>
            <w:r>
              <w:rPr>
                <w:rFonts w:ascii="Calibri" w:hAnsi="Calibri"/>
                <w:color w:val="222222"/>
                <w:sz w:val="17"/>
              </w:rPr>
              <w:t>Total credit collapse; inability to refinance wholesale borrowing facilities</w:t>
            </w:r>
          </w:p>
        </w:tc>
        <w:tc>
          <w:tcPr>
            <w:tcW w:type="dxa" w:w="2592"/>
            <w:shd w:fill="F4F6F9"/>
            <w:tcMar>
              <w:top w:w="80" w:type="dxa"/>
              <w:bottom w:w="80" w:type="dxa"/>
              <w:left w:w="90" w:type="dxa"/>
              <w:right w:w="90" w:type="dxa"/>
            </w:tcMar>
          </w:tcPr>
          <w:p>
            <w:r>
              <w:rPr>
                <w:rFonts w:ascii="Calibri" w:hAnsi="Calibri"/>
                <w:color w:val="222222"/>
                <w:sz w:val="17"/>
              </w:rPr>
              <w:t>Proof that standalone, fee-free Pay-in-4 is mathematically insolvent at scale.</w:t>
            </w:r>
          </w:p>
        </w:tc>
      </w:tr>
    </w:tbl>
    <w:p>
      <w:pPr>
        <w:spacing w:before="80" w:after="120"/>
      </w:pPr>
    </w:p>
    <w:p>
      <w:pPr>
        <w:keepNext/>
        <w:spacing w:before="280" w:after="80"/>
      </w:pPr>
      <w:r>
        <w:rPr>
          <w:rFonts w:ascii="Calibri" w:hAnsi="Calibri"/>
          <w:b/>
          <w:color w:val="112244"/>
          <w:sz w:val="26"/>
        </w:rPr>
        <w:t>IV. The Regulatory Comedy: The APA, NYDFS, and Legislative Palliatives</w:t>
      </w:r>
    </w:p>
    <w:p>
      <w:pPr>
        <w:spacing w:before="0" w:after="100" w:line="276" w:lineRule="auto"/>
      </w:pPr>
      <w:r>
        <w:rPr>
          <w:rFonts w:ascii="Calibri" w:hAnsi="Calibri"/>
          <w:i w:val="0"/>
          <w:color w:val="222222"/>
          <w:sz w:val="21"/>
        </w:rPr>
        <w:t>The APA has two particularly interesting sections that lawyers love to wave around like sacred talismans:</w:t>
      </w:r>
    </w:p>
    <w:p>
      <w:pPr>
        <w:pStyle w:val="ListBullet"/>
        <w:spacing w:before="0" w:after="60" w:line="276" w:lineRule="auto"/>
      </w:pPr>
      <w:r>
        <w:rPr>
          <w:rFonts w:ascii="Calibri" w:hAnsi="Calibri"/>
          <w:b/>
          <w:color w:val="222222"/>
          <w:sz w:val="21"/>
        </w:rPr>
        <w:t xml:space="preserve">Discretion Shield: </w:t>
      </w:r>
      <w:r>
        <w:rPr>
          <w:rFonts w:ascii="Calibri" w:hAnsi="Calibri"/>
          <w:color w:val="222222"/>
          <w:sz w:val="21"/>
        </w:rPr>
        <w:t>APA § 701(a): Agency action committed to agency discretion is unreviewable; and</w:t>
      </w:r>
    </w:p>
    <w:p>
      <w:pPr>
        <w:pStyle w:val="ListBullet"/>
        <w:spacing w:before="0" w:after="60" w:line="276" w:lineRule="auto"/>
      </w:pPr>
      <w:r>
        <w:rPr>
          <w:rFonts w:ascii="Calibri" w:hAnsi="Calibri"/>
          <w:b/>
          <w:color w:val="222222"/>
          <w:sz w:val="21"/>
        </w:rPr>
        <w:t xml:space="preserve">Arbitrary &amp; Capricious: </w:t>
      </w:r>
      <w:r>
        <w:rPr>
          <w:rFonts w:ascii="Calibri" w:hAnsi="Calibri"/>
          <w:color w:val="222222"/>
          <w:sz w:val="21"/>
        </w:rPr>
        <w:t>APA § 706(2)(A): Courts shall hold unlawful and set aside agency action found to be arbitrary, capricious, an abuse of discretion, or otherwise not in accordance with law.</w:t>
      </w:r>
    </w:p>
    <w:p>
      <w:pPr>
        <w:spacing w:before="0" w:after="100" w:line="276" w:lineRule="auto"/>
      </w:pPr>
      <w:r>
        <w:rPr>
          <w:rFonts w:ascii="Calibri" w:hAnsi="Calibri"/>
          <w:i w:val="0"/>
          <w:color w:val="222222"/>
          <w:sz w:val="21"/>
        </w:rPr>
        <w:t>I presume a coin flip determines which party’s interpretation of 'arbitrary and capricious' will apply on any given Tuesday in the D.C. District Court. The FTA screams that classifying a digital BNPL account as a 'credit card' under Regulation Z (12 C.F.R. § 1026.2(a)(15)) without a year of notice-and-comment is tyrannical. Meanwhile, the CFPB claims it's merely 'interpreting' existing 1968 definitions.</w:t>
      </w:r>
    </w:p>
    <w:p>
      <w:pPr>
        <w:spacing w:before="0" w:after="100" w:line="276" w:lineRule="auto"/>
      </w:pPr>
      <w:r>
        <w:rPr>
          <w:rFonts w:ascii="Calibri" w:hAnsi="Calibri"/>
          <w:i w:val="0"/>
          <w:color w:val="222222"/>
          <w:sz w:val="21"/>
        </w:rPr>
        <w:t>While the federal litigation drags on, look at what the states and international regulators are doing while Washington bickers:</w:t>
      </w:r>
    </w:p>
    <w:p>
      <w:pPr>
        <w:pStyle w:val="ListBullet"/>
        <w:spacing w:before="0" w:after="60" w:line="276" w:lineRule="auto"/>
      </w:pPr>
      <w:r>
        <w:rPr>
          <w:rFonts w:ascii="Calibri" w:hAnsi="Calibri"/>
          <w:b/>
          <w:color w:val="222222"/>
          <w:sz w:val="21"/>
        </w:rPr>
        <w:t xml:space="preserve">New York State Drops the Hammer: </w:t>
      </w:r>
      <w:r>
        <w:rPr>
          <w:rFonts w:ascii="Calibri" w:hAnsi="Calibri"/>
          <w:color w:val="222222"/>
          <w:sz w:val="21"/>
        </w:rPr>
        <w:t>New York BNPL Act (DFS Proposed Rulemaking — 3 NYCRR Part 425): Passed in May 2025; DFS issued formal proposed rules with comments closing September 14, 2026. New York is imposing mandatory licensing, strict fee caps, application of the 16% civil usury cap, mandatory dispute procedures, and explicit consumer opt-in consent before fintechs can monetize user transaction data.</w:t>
      </w:r>
    </w:p>
    <w:p>
      <w:pPr>
        <w:pStyle w:val="ListBullet"/>
        <w:spacing w:before="0" w:after="60" w:line="276" w:lineRule="auto"/>
      </w:pPr>
      <w:r>
        <w:rPr>
          <w:rFonts w:ascii="Calibri" w:hAnsi="Calibri"/>
          <w:b/>
          <w:color w:val="222222"/>
          <w:sz w:val="21"/>
        </w:rPr>
        <w:t xml:space="preserve">California Closes Loopholes: </w:t>
      </w:r>
      <w:r>
        <w:rPr>
          <w:rFonts w:ascii="Calibri" w:hAnsi="Calibri"/>
          <w:color w:val="222222"/>
          <w:sz w:val="21"/>
        </w:rPr>
        <w:t>California DFPI &amp; AB 2350: California regulates BNPL under the California Financing Law (CFL) and is actively prosecuting deceptive practices under the CCFPL, while advancing AB 2350 to eradicate predatory 'Rent Now, Pay Later' schemes.</w:t>
      </w:r>
    </w:p>
    <w:p>
      <w:pPr>
        <w:pStyle w:val="ListBullet"/>
        <w:spacing w:before="0" w:after="60" w:line="276" w:lineRule="auto"/>
      </w:pPr>
      <w:r>
        <w:rPr>
          <w:rFonts w:ascii="Calibri" w:hAnsi="Calibri"/>
          <w:b/>
          <w:color w:val="222222"/>
          <w:sz w:val="21"/>
        </w:rPr>
        <w:t xml:space="preserve">Congressional Legislation: </w:t>
      </w:r>
      <w:r>
        <w:rPr>
          <w:rFonts w:ascii="Calibri" w:hAnsi="Calibri"/>
          <w:color w:val="222222"/>
          <w:sz w:val="21"/>
        </w:rPr>
        <w:t>Federal 'Buy Now, Pay Later Consumer Protection Act' (June 2026): Introduced by Rep. Dan Goldman (D-NY) to bypass the CFPB's litigation vulnerabilities and statutorily bind all BNPL lenders to full TILA disclosure and dispute mandates.</w:t>
      </w:r>
    </w:p>
    <w:p>
      <w:pPr>
        <w:pStyle w:val="ListBullet"/>
        <w:spacing w:before="0" w:after="60" w:line="276" w:lineRule="auto"/>
      </w:pPr>
      <w:r>
        <w:rPr>
          <w:rFonts w:ascii="Calibri" w:hAnsi="Calibri"/>
          <w:b/>
          <w:color w:val="222222"/>
          <w:sz w:val="21"/>
        </w:rPr>
        <w:t xml:space="preserve">International Isolation: </w:t>
      </w:r>
      <w:r>
        <w:rPr>
          <w:rFonts w:ascii="Calibri" w:hAnsi="Calibri"/>
          <w:color w:val="222222"/>
          <w:sz w:val="21"/>
        </w:rPr>
        <w:t>Global Crackdowns (EU CCD II &amp; UK FCA): The EU Consumer Credit Directive II has completely abolished the under-€200 exemption, forcing full creditworthiness checks across Europe, while the UK FCA is dragging BNPL under FSMA authorization.</w:t>
      </w:r>
    </w:p>
    <w:p>
      <w:pPr>
        <w:keepNext/>
        <w:spacing w:before="280" w:after="80"/>
      </w:pPr>
      <w:r>
        <w:rPr>
          <w:rFonts w:ascii="Calibri" w:hAnsi="Calibri"/>
          <w:b/>
          <w:color w:val="112244"/>
          <w:sz w:val="26"/>
        </w:rPr>
        <w:t>V. The Litigation Battleground: Class Actions, Overdrafts, and the Clown Show</w:t>
      </w:r>
    </w:p>
    <w:p>
      <w:pPr>
        <w:spacing w:before="0" w:after="100" w:line="276" w:lineRule="auto"/>
      </w:pPr>
      <w:r>
        <w:rPr>
          <w:rFonts w:ascii="Calibri" w:hAnsi="Calibri"/>
          <w:i w:val="0"/>
          <w:color w:val="222222"/>
          <w:sz w:val="21"/>
        </w:rPr>
        <w:t>My perspective on the utility of the administrative enforcement machine should be clear by now. Something for the windbags. A federal judge recently excoriated the CFPB for fast-tracking settlements that leave consumers with pennies while lawyers claim victory. So here you have a feckless agency on one side, a self-righteous fintech lobby on the other, and grandstanding judges proposing... what exactly? Complete clown show.</w:t>
      </w:r>
    </w:p>
    <w:p>
      <w:pPr>
        <w:spacing w:before="0" w:after="100" w:line="276" w:lineRule="auto"/>
      </w:pPr>
      <w:r>
        <w:rPr>
          <w:rFonts w:ascii="Calibri" w:hAnsi="Calibri"/>
          <w:i w:val="0"/>
          <w:color w:val="222222"/>
          <w:sz w:val="21"/>
        </w:rPr>
        <w:t>Meanwhile, real consumers are fighting in the trenches through private litigation:</w:t>
      </w:r>
    </w:p>
    <w:p>
      <w:pPr>
        <w:pStyle w:val="ListBullet"/>
        <w:spacing w:before="0" w:after="60" w:line="276" w:lineRule="auto"/>
      </w:pPr>
      <w:r>
        <w:rPr>
          <w:rFonts w:ascii="Calibri" w:hAnsi="Calibri"/>
          <w:b/>
          <w:color w:val="222222"/>
          <w:sz w:val="21"/>
        </w:rPr>
        <w:t xml:space="preserve">Klarna (N.D. Ill. 2026): </w:t>
      </w:r>
      <w:r>
        <w:rPr>
          <w:rFonts w:ascii="Calibri" w:hAnsi="Calibri"/>
          <w:color w:val="222222"/>
          <w:sz w:val="21"/>
        </w:rPr>
        <w:t>Klarna Predatory Lending Class Action (N.D. Ill. 2026): Alleges Klarna extends revolving credit lines to broke consumers with zero income checks, deliberately using automated payment retries to trigger cascading $35 bank overdraft fees.</w:t>
      </w:r>
    </w:p>
    <w:p>
      <w:pPr>
        <w:pStyle w:val="ListBullet"/>
        <w:spacing w:before="0" w:after="60" w:line="276" w:lineRule="auto"/>
      </w:pPr>
      <w:r>
        <w:rPr>
          <w:rFonts w:ascii="Calibri" w:hAnsi="Calibri"/>
          <w:b/>
          <w:color w:val="222222"/>
          <w:sz w:val="21"/>
        </w:rPr>
        <w:t xml:space="preserve">Afterpay Overdraft Suits: </w:t>
      </w:r>
      <w:r>
        <w:rPr>
          <w:rFonts w:ascii="Calibri" w:hAnsi="Calibri"/>
          <w:color w:val="222222"/>
          <w:sz w:val="21"/>
        </w:rPr>
        <w:t>Afterpay Overdraft Deception Litigation (Sands v. Afterpay US, Inc.): Putative class actions systematically dismantling the claim of 'no fees, no hassle,' exposing how uncoordinated recurring ACH withdrawals bleed consumer checking accounts dry.</w:t>
      </w:r>
    </w:p>
    <w:p>
      <w:pPr>
        <w:pStyle w:val="ListBullet"/>
        <w:spacing w:before="0" w:after="60" w:line="276" w:lineRule="auto"/>
      </w:pPr>
      <w:r>
        <w:rPr>
          <w:rFonts w:ascii="Calibri" w:hAnsi="Calibri"/>
          <w:b/>
          <w:color w:val="222222"/>
          <w:sz w:val="21"/>
        </w:rPr>
        <w:t xml:space="preserve">Affirm / Evolve Bank Settlement: </w:t>
      </w:r>
      <w:r>
        <w:rPr>
          <w:rFonts w:ascii="Calibri" w:hAnsi="Calibri"/>
          <w:color w:val="222222"/>
          <w:sz w:val="21"/>
        </w:rPr>
        <w:t>Affirm &amp; Evolve Bank Data Breach (MDL 2:24-md-03127): A class action settlement finalized in December 2025 after millions of Affirm borrower records were compromised via partner bank Evolve Bank &amp; Trust.</w:t>
      </w:r>
    </w:p>
    <w:p>
      <w:pPr>
        <w:pStyle w:val="ListBullet"/>
        <w:spacing w:before="0" w:after="60" w:line="276" w:lineRule="auto"/>
      </w:pPr>
      <w:r>
        <w:rPr>
          <w:rFonts w:ascii="Calibri" w:hAnsi="Calibri"/>
          <w:b/>
          <w:color w:val="222222"/>
          <w:sz w:val="21"/>
        </w:rPr>
        <w:t xml:space="preserve">European Litigation: </w:t>
      </w:r>
      <w:r>
        <w:rPr>
          <w:rFonts w:ascii="Calibri" w:hAnsi="Calibri"/>
          <w:color w:val="222222"/>
          <w:sz w:val="21"/>
        </w:rPr>
        <w:t>Dutch Collective Action Against Klarna (July 2026): A Netherlands consumer foundation taking Klarna to court for systemic violations of EU credit assessment laws and unlawful penalty fee structures.</w:t>
      </w:r>
    </w:p>
    <w:p>
      <w:pPr>
        <w:keepNext/>
        <w:spacing w:before="280" w:after="80"/>
      </w:pPr>
      <w:r>
        <w:rPr>
          <w:rFonts w:ascii="Calibri" w:hAnsi="Calibri"/>
          <w:b/>
          <w:color w:val="112244"/>
          <w:sz w:val="26"/>
        </w:rPr>
        <w:t>VI. Comprehensive Table of Authorities &amp; Legal Citations</w:t>
      </w:r>
    </w:p>
    <w:p>
      <w:pPr>
        <w:keepNext/>
        <w:spacing w:before="200" w:after="60"/>
      </w:pPr>
      <w:r>
        <w:rPr>
          <w:rFonts w:ascii="Calibri" w:hAnsi="Calibri"/>
          <w:b/>
          <w:color w:val="8B0000"/>
          <w:sz w:val="23"/>
        </w:rPr>
        <w:t>A. Statutes, Regulations &amp; Legislative Materials</w:t>
      </w:r>
    </w:p>
    <w:p>
      <w:pPr>
        <w:pStyle w:val="ListBullet"/>
        <w:spacing w:before="0" w:after="60" w:line="276" w:lineRule="auto"/>
      </w:pPr>
      <w:r>
        <w:rPr>
          <w:rFonts w:ascii="Calibri" w:hAnsi="Calibri"/>
          <w:b/>
          <w:color w:val="222222"/>
          <w:sz w:val="21"/>
        </w:rPr>
        <w:t xml:space="preserve">1. </w:t>
      </w:r>
      <w:r>
        <w:rPr>
          <w:rFonts w:ascii="Calibri" w:hAnsi="Calibri"/>
          <w:color w:val="222222"/>
          <w:sz w:val="21"/>
        </w:rPr>
        <w:t>Consumer Financial Protection Bureau, Interpretive Rule: Use of Digital User Accounts to Access Buy Now, Pay Later Products, 89 Fed. Reg. 47072 (May 31, 2024) (codified at 12 C.F.R. Part 1026 / Regulation Z).</w:t>
      </w:r>
    </w:p>
    <w:p>
      <w:pPr>
        <w:pStyle w:val="ListBullet"/>
        <w:spacing w:before="0" w:after="60" w:line="276" w:lineRule="auto"/>
      </w:pPr>
      <w:r>
        <w:rPr>
          <w:rFonts w:ascii="Calibri" w:hAnsi="Calibri"/>
          <w:b/>
          <w:color w:val="222222"/>
          <w:sz w:val="21"/>
        </w:rPr>
        <w:t xml:space="preserve">2. </w:t>
      </w:r>
      <w:r>
        <w:rPr>
          <w:rFonts w:ascii="Calibri" w:hAnsi="Calibri"/>
          <w:color w:val="222222"/>
          <w:sz w:val="21"/>
        </w:rPr>
        <w:t>Truth in Lending Act (TILA), 15 U.S.C. § 1601 et seq.; 15 U.S.C. § 1602(g) (definition of creditor); Regulation Z, 12 C.F.R. § 1026.2(a)(15) (card issuer definitions).</w:t>
      </w:r>
    </w:p>
    <w:p>
      <w:pPr>
        <w:pStyle w:val="ListBullet"/>
        <w:spacing w:before="0" w:after="60" w:line="276" w:lineRule="auto"/>
      </w:pPr>
      <w:r>
        <w:rPr>
          <w:rFonts w:ascii="Calibri" w:hAnsi="Calibri"/>
          <w:b/>
          <w:color w:val="222222"/>
          <w:sz w:val="21"/>
        </w:rPr>
        <w:t xml:space="preserve">3. </w:t>
      </w:r>
      <w:r>
        <w:rPr>
          <w:rFonts w:ascii="Calibri" w:hAnsi="Calibri"/>
          <w:color w:val="222222"/>
          <w:sz w:val="21"/>
        </w:rPr>
        <w:t>Administrative Procedure Act (APA), 5 U.S.C. §§ 553 (rulemaking), 701(a) (agency discretion), 706(2)(A) (arbitrary and capricious standard).</w:t>
      </w:r>
    </w:p>
    <w:p>
      <w:pPr>
        <w:pStyle w:val="ListBullet"/>
        <w:spacing w:before="0" w:after="60" w:line="276" w:lineRule="auto"/>
      </w:pPr>
      <w:r>
        <w:rPr>
          <w:rFonts w:ascii="Calibri" w:hAnsi="Calibri"/>
          <w:b/>
          <w:color w:val="222222"/>
          <w:sz w:val="21"/>
        </w:rPr>
        <w:t xml:space="preserve">4. </w:t>
      </w:r>
      <w:r>
        <w:rPr>
          <w:rFonts w:ascii="Calibri" w:hAnsi="Calibri"/>
          <w:color w:val="222222"/>
          <w:sz w:val="21"/>
        </w:rPr>
        <w:t>Buy Now, Pay Later Consumer Protection Act, H.R. 8762, 119th Cong. (introduced by Rep. Daniel S. Goldman, June 2026).</w:t>
      </w:r>
    </w:p>
    <w:p>
      <w:pPr>
        <w:pStyle w:val="ListBullet"/>
        <w:spacing w:before="0" w:after="60" w:line="276" w:lineRule="auto"/>
      </w:pPr>
      <w:r>
        <w:rPr>
          <w:rFonts w:ascii="Calibri" w:hAnsi="Calibri"/>
          <w:b/>
          <w:color w:val="222222"/>
          <w:sz w:val="21"/>
        </w:rPr>
        <w:t xml:space="preserve">5. </w:t>
      </w:r>
      <w:r>
        <w:rPr>
          <w:rFonts w:ascii="Calibri" w:hAnsi="Calibri"/>
          <w:color w:val="222222"/>
          <w:sz w:val="21"/>
        </w:rPr>
        <w:t>New York Buy Now, Pay Later Act, N.Y. Banking Law Art. 9-B §§ 380–395 (enacted May 2025); New York Department of Financial Services (NYDFS), Proposed 3 NYCRR Part 425 (Notice of Proposed Rulemaking, July 2026; public comments due September 14, 2026).</w:t>
      </w:r>
    </w:p>
    <w:p>
      <w:pPr>
        <w:pStyle w:val="ListBullet"/>
        <w:spacing w:before="0" w:after="60" w:line="276" w:lineRule="auto"/>
      </w:pPr>
      <w:r>
        <w:rPr>
          <w:rFonts w:ascii="Calibri" w:hAnsi="Calibri"/>
          <w:b/>
          <w:color w:val="222222"/>
          <w:sz w:val="21"/>
        </w:rPr>
        <w:t xml:space="preserve">6. </w:t>
      </w:r>
      <w:r>
        <w:rPr>
          <w:rFonts w:ascii="Calibri" w:hAnsi="Calibri"/>
          <w:color w:val="222222"/>
          <w:sz w:val="21"/>
        </w:rPr>
        <w:t>California Financing Law (CFL), Cal. Fin. Code § 22000 et seq.; California Consumer Financial Protection Law (CCFPL), Cal. Fin. Code § 90000 et seq.; Cal. Assemb. Bill 2350 (2025–2026 Reg. Sess.).</w:t>
      </w:r>
    </w:p>
    <w:p>
      <w:pPr>
        <w:pStyle w:val="ListBullet"/>
        <w:spacing w:before="0" w:after="60" w:line="276" w:lineRule="auto"/>
      </w:pPr>
      <w:r>
        <w:rPr>
          <w:rFonts w:ascii="Calibri" w:hAnsi="Calibri"/>
          <w:b/>
          <w:color w:val="222222"/>
          <w:sz w:val="21"/>
        </w:rPr>
        <w:t xml:space="preserve">7. </w:t>
      </w:r>
      <w:r>
        <w:rPr>
          <w:rFonts w:ascii="Calibri" w:hAnsi="Calibri"/>
          <w:color w:val="222222"/>
          <w:sz w:val="21"/>
        </w:rPr>
        <w:t>Directive (EU) 2023/2225 of the European Parliament and of the Council of 18 October 2023 on credit agreements for consumers (CCD II).</w:t>
      </w:r>
    </w:p>
    <w:p>
      <w:pPr>
        <w:pStyle w:val="ListBullet"/>
        <w:spacing w:before="0" w:after="60" w:line="276" w:lineRule="auto"/>
      </w:pPr>
      <w:r>
        <w:rPr>
          <w:rFonts w:ascii="Calibri" w:hAnsi="Calibri"/>
          <w:b/>
          <w:color w:val="222222"/>
          <w:sz w:val="21"/>
        </w:rPr>
        <w:t xml:space="preserve">8. </w:t>
      </w:r>
      <w:r>
        <w:rPr>
          <w:rFonts w:ascii="Calibri" w:hAnsi="Calibri"/>
          <w:color w:val="222222"/>
          <w:sz w:val="21"/>
        </w:rPr>
        <w:t>United Kingdom Financial Services and Markets Act 2000 (FSMA), c. 8; HM Treasury &amp; FCA BNPL Consultation &amp; Draft Regulations (2024–2026).</w:t>
      </w:r>
    </w:p>
    <w:p>
      <w:pPr>
        <w:pStyle w:val="ListBullet"/>
        <w:spacing w:before="0" w:after="60" w:line="276" w:lineRule="auto"/>
      </w:pPr>
      <w:r>
        <w:rPr>
          <w:rFonts w:ascii="Calibri" w:hAnsi="Calibri"/>
          <w:b/>
          <w:color w:val="222222"/>
          <w:sz w:val="21"/>
        </w:rPr>
        <w:t xml:space="preserve">9. </w:t>
      </w:r>
      <w:r>
        <w:rPr>
          <w:rFonts w:ascii="Calibri" w:hAnsi="Calibri"/>
          <w:color w:val="222222"/>
          <w:sz w:val="21"/>
        </w:rPr>
        <w:t>Treasury Laws Amendment (Buy Now Pay Later) Bill 2024 (amending National Consumer Credit Protection Act 2009 (Cth), Australia).</w:t>
      </w:r>
    </w:p>
    <w:p>
      <w:pPr>
        <w:keepNext/>
        <w:spacing w:before="200" w:after="60"/>
      </w:pPr>
      <w:r>
        <w:rPr>
          <w:rFonts w:ascii="Calibri" w:hAnsi="Calibri"/>
          <w:b/>
          <w:color w:val="8B0000"/>
          <w:sz w:val="23"/>
        </w:rPr>
        <w:t>B. Case Law, Dockets &amp; Judicial Proceedings</w:t>
      </w:r>
    </w:p>
    <w:p>
      <w:pPr>
        <w:pStyle w:val="ListBullet"/>
        <w:spacing w:before="0" w:after="60" w:line="276" w:lineRule="auto"/>
      </w:pPr>
      <w:r>
        <w:rPr>
          <w:rFonts w:ascii="Calibri" w:hAnsi="Calibri"/>
          <w:b/>
          <w:color w:val="222222"/>
          <w:sz w:val="21"/>
        </w:rPr>
        <w:t xml:space="preserve">10. </w:t>
      </w:r>
      <w:r>
        <w:rPr>
          <w:rFonts w:ascii="Calibri" w:hAnsi="Calibri"/>
          <w:color w:val="222222"/>
          <w:sz w:val="21"/>
        </w:rPr>
        <w:t>Financial Technology Association v. Consumer Financial Protection Bureau, No. 1:24-cv-02945 (D.D.C. filed Oct. 18, 2024) (APA challenge to Regulation Z Interpretive Rule).</w:t>
      </w:r>
    </w:p>
    <w:p>
      <w:pPr>
        <w:pStyle w:val="ListBullet"/>
        <w:spacing w:before="0" w:after="60" w:line="276" w:lineRule="auto"/>
      </w:pPr>
      <w:r>
        <w:rPr>
          <w:rFonts w:ascii="Calibri" w:hAnsi="Calibri"/>
          <w:b/>
          <w:color w:val="222222"/>
          <w:sz w:val="21"/>
        </w:rPr>
        <w:t xml:space="preserve">11. </w:t>
      </w:r>
      <w:r>
        <w:rPr>
          <w:rFonts w:ascii="Calibri" w:hAnsi="Calibri"/>
          <w:color w:val="222222"/>
          <w:sz w:val="21"/>
        </w:rPr>
        <w:t>Doe et al. v. Klarna Inc., No. 1:26-cv-02184 (N.D. Ill. filed 2026) (class action asserting predatory lending, lack of underwriting, and automated overdraft causation).</w:t>
      </w:r>
    </w:p>
    <w:p>
      <w:pPr>
        <w:pStyle w:val="ListBullet"/>
        <w:spacing w:before="0" w:after="60" w:line="276" w:lineRule="auto"/>
      </w:pPr>
      <w:r>
        <w:rPr>
          <w:rFonts w:ascii="Calibri" w:hAnsi="Calibri"/>
          <w:b/>
          <w:color w:val="222222"/>
          <w:sz w:val="21"/>
        </w:rPr>
        <w:t xml:space="preserve">12. </w:t>
      </w:r>
      <w:r>
        <w:rPr>
          <w:rFonts w:ascii="Calibri" w:hAnsi="Calibri"/>
          <w:color w:val="222222"/>
          <w:sz w:val="21"/>
        </w:rPr>
        <w:t>Sands v. Afterpay US, Inc., No. 4:21-cv-02758 (N.D. Cal.) (class action asserting deceptive marketing and unlawful ACH overdraft fee triggers).</w:t>
      </w:r>
    </w:p>
    <w:p>
      <w:pPr>
        <w:pStyle w:val="ListBullet"/>
        <w:spacing w:before="0" w:after="60" w:line="276" w:lineRule="auto"/>
      </w:pPr>
      <w:r>
        <w:rPr>
          <w:rFonts w:ascii="Calibri" w:hAnsi="Calibri"/>
          <w:b/>
          <w:color w:val="222222"/>
          <w:sz w:val="21"/>
        </w:rPr>
        <w:t xml:space="preserve">13. </w:t>
      </w:r>
      <w:r>
        <w:rPr>
          <w:rFonts w:ascii="Calibri" w:hAnsi="Calibri"/>
          <w:color w:val="222222"/>
          <w:sz w:val="21"/>
        </w:rPr>
        <w:t>In re Evolve Bank &amp; Trust Customer Data Security Breach Litigation, No. 2:24-md-03127 (W.D. Tenn. final settlement approved Dec. 2025).</w:t>
      </w:r>
    </w:p>
    <w:p>
      <w:pPr>
        <w:pStyle w:val="ListBullet"/>
        <w:spacing w:before="0" w:after="60" w:line="276" w:lineRule="auto"/>
      </w:pPr>
      <w:r>
        <w:rPr>
          <w:rFonts w:ascii="Calibri" w:hAnsi="Calibri"/>
          <w:b/>
          <w:color w:val="222222"/>
          <w:sz w:val="21"/>
        </w:rPr>
        <w:t xml:space="preserve">14. </w:t>
      </w:r>
      <w:r>
        <w:rPr>
          <w:rFonts w:ascii="Calibri" w:hAnsi="Calibri"/>
          <w:color w:val="222222"/>
          <w:sz w:val="21"/>
        </w:rPr>
        <w:t>Stichting Consumentenbelang v. Klarna Bank AB (District Court of Amsterdam, filed July 2026) (Dutch collective action on creditworthiness assessments).</w:t>
      </w:r>
    </w:p>
    <w:p>
      <w:pPr>
        <w:keepNext/>
        <w:spacing w:before="200" w:after="60"/>
      </w:pPr>
      <w:r>
        <w:rPr>
          <w:rFonts w:ascii="Calibri" w:hAnsi="Calibri"/>
          <w:b/>
          <w:color w:val="8B0000"/>
          <w:sz w:val="23"/>
        </w:rPr>
        <w:t>C. Financial Reports, SEC Filings &amp; Macroeconomic Studies</w:t>
      </w:r>
    </w:p>
    <w:p>
      <w:pPr>
        <w:pStyle w:val="ListBullet"/>
        <w:spacing w:before="0" w:after="60" w:line="276" w:lineRule="auto"/>
      </w:pPr>
      <w:r>
        <w:rPr>
          <w:rFonts w:ascii="Calibri" w:hAnsi="Calibri"/>
          <w:b/>
          <w:color w:val="222222"/>
          <w:sz w:val="21"/>
        </w:rPr>
        <w:t xml:space="preserve">15. </w:t>
      </w:r>
      <w:r>
        <w:rPr>
          <w:rFonts w:ascii="Calibri" w:hAnsi="Calibri"/>
          <w:color w:val="222222"/>
          <w:sz w:val="21"/>
        </w:rPr>
        <w:t>Affirm Holdings, Inc., Form 10-K for FY ended June 30, 2025 &amp; Form 10-Q for Period Ended March 31, 2026 (disclosing ~$36B GMV, 5.4% credit loss allowance, 2.7% 30-day delinquency).</w:t>
      </w:r>
    </w:p>
    <w:p>
      <w:pPr>
        <w:pStyle w:val="ListBullet"/>
        <w:spacing w:before="0" w:after="60" w:line="276" w:lineRule="auto"/>
      </w:pPr>
      <w:r>
        <w:rPr>
          <w:rFonts w:ascii="Calibri" w:hAnsi="Calibri"/>
          <w:b/>
          <w:color w:val="222222"/>
          <w:sz w:val="21"/>
        </w:rPr>
        <w:t xml:space="preserve">16. </w:t>
      </w:r>
      <w:r>
        <w:rPr>
          <w:rFonts w:ascii="Calibri" w:hAnsi="Calibri"/>
          <w:color w:val="222222"/>
          <w:sz w:val="21"/>
        </w:rPr>
        <w:t>Klarna Bank AB (publ), Annual Report 2024 &amp; Interim Report January–December 2025 ($21M net income 2024; -$273M net loss 2025; +$1M net profit Q1 2026).</w:t>
      </w:r>
    </w:p>
    <w:p>
      <w:pPr>
        <w:pStyle w:val="ListBullet"/>
        <w:spacing w:before="0" w:after="60" w:line="276" w:lineRule="auto"/>
      </w:pPr>
      <w:r>
        <w:rPr>
          <w:rFonts w:ascii="Calibri" w:hAnsi="Calibri"/>
          <w:b/>
          <w:color w:val="222222"/>
          <w:sz w:val="21"/>
        </w:rPr>
        <w:t xml:space="preserve">17. </w:t>
      </w:r>
      <w:r>
        <w:rPr>
          <w:rFonts w:ascii="Calibri" w:hAnsi="Calibri"/>
          <w:color w:val="222222"/>
          <w:sz w:val="21"/>
        </w:rPr>
        <w:t>Block, Inc., Form 10-K for Year Ended December 31, 2025 (disclosing Afterpay revenue contributions &gt;$1.04B and Cash App integration).</w:t>
      </w:r>
    </w:p>
    <w:p>
      <w:pPr>
        <w:pStyle w:val="ListBullet"/>
        <w:spacing w:before="0" w:after="60" w:line="276" w:lineRule="auto"/>
      </w:pPr>
      <w:r>
        <w:rPr>
          <w:rFonts w:ascii="Calibri" w:hAnsi="Calibri"/>
          <w:b/>
          <w:color w:val="222222"/>
          <w:sz w:val="21"/>
        </w:rPr>
        <w:t xml:space="preserve">18. </w:t>
      </w:r>
      <w:r>
        <w:rPr>
          <w:rFonts w:ascii="Calibri" w:hAnsi="Calibri"/>
          <w:color w:val="222222"/>
          <w:sz w:val="21"/>
        </w:rPr>
        <w:t>Zip Co Limited, FY25 Annual Financial Report (ASX: ZIP) ($79.9M NPAT; divestment of UK/European operations).</w:t>
      </w:r>
    </w:p>
    <w:p>
      <w:pPr>
        <w:pStyle w:val="ListBullet"/>
        <w:spacing w:before="0" w:after="60" w:line="276" w:lineRule="auto"/>
      </w:pPr>
      <w:r>
        <w:rPr>
          <w:rFonts w:ascii="Calibri" w:hAnsi="Calibri"/>
          <w:b/>
          <w:color w:val="222222"/>
          <w:sz w:val="21"/>
        </w:rPr>
        <w:t xml:space="preserve">19. </w:t>
      </w:r>
      <w:r>
        <w:rPr>
          <w:rFonts w:ascii="Calibri" w:hAnsi="Calibri"/>
          <w:color w:val="222222"/>
          <w:sz w:val="21"/>
        </w:rPr>
        <w:t>Federal Reserve Bank of Richmond, 'Buy Now, Pay Later: A Snapshot of Market Trends and Consumer Risks,' Economic Brief (2025/2026).</w:t>
      </w:r>
    </w:p>
    <w:p>
      <w:pPr>
        <w:pStyle w:val="ListBullet"/>
        <w:spacing w:before="0" w:after="60" w:line="276" w:lineRule="auto"/>
      </w:pPr>
      <w:r>
        <w:rPr>
          <w:rFonts w:ascii="Calibri" w:hAnsi="Calibri"/>
          <w:b/>
          <w:color w:val="222222"/>
          <w:sz w:val="21"/>
        </w:rPr>
        <w:t xml:space="preserve">20. </w:t>
      </w:r>
      <w:r>
        <w:rPr>
          <w:rFonts w:ascii="Calibri" w:hAnsi="Calibri"/>
          <w:color w:val="222222"/>
          <w:sz w:val="21"/>
        </w:rPr>
        <w:t>Fitch Ratings, 'Global Consumer Credit Outlook: Shadow Debt and BNPL Delinquency Pressures' (Late 2025/2026 Report).</w:t>
      </w:r>
    </w:p>
    <w:p>
      <w:pPr>
        <w:pStyle w:val="ListBullet"/>
        <w:spacing w:before="0" w:after="60" w:line="276" w:lineRule="auto"/>
      </w:pPr>
      <w:r>
        <w:rPr>
          <w:rFonts w:ascii="Calibri" w:hAnsi="Calibri"/>
          <w:b/>
          <w:color w:val="222222"/>
          <w:sz w:val="21"/>
        </w:rPr>
        <w:t xml:space="preserve">21. </w:t>
      </w:r>
      <w:r>
        <w:rPr>
          <w:rFonts w:ascii="Calibri" w:hAnsi="Calibri"/>
          <w:color w:val="222222"/>
          <w:sz w:val="21"/>
        </w:rPr>
        <w:t>Laybuy Group Holdings Ltd (in Receivership &amp; Liquidation), Liquidators' Six-Monthly Report (High Court of New Zealand, 2024–2025).</w:t>
      </w:r>
    </w:p>
    <w:p>
      <w:pPr>
        <w:spacing w:before="320" w:after="40"/>
      </w:pPr>
      <w:r>
        <w:rPr>
          <w:rFonts w:ascii="Calibri" w:hAnsi="Calibri"/>
          <w:b/>
          <w:color w:val="112244"/>
          <w:sz w:val="22"/>
        </w:rPr>
        <w:t>— Charles W. Kinslow IV, J.D., C.P.A.</w:t>
      </w:r>
    </w:p>
    <w:p>
      <w:pPr>
        <w:spacing w:before="0" w:after="120"/>
      </w:pPr>
      <w:r>
        <w:rPr>
          <w:rFonts w:ascii="Calibri" w:hAnsi="Calibri"/>
          <w:i/>
          <w:color w:val="666666"/>
          <w:sz w:val="19"/>
        </w:rPr>
        <w:t>@Affirm @CFPB @Financial Technology Association @Morgan Lewis &amp; Bockius LLP #BNPL #BuyNowPayLater #ConsumerProtection #Fintech #GhostDebt #RegulatoryArchive2026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77777"/>
        <w:sz w:val="17"/>
      </w:rPr>
      <w:t>The FTA Won. Consumers Lost. Nobody's Coming. | Charles W. Kinslow IV, J.D., C.P.A.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