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8B0000"/>
          <w:sz w:val="20"/>
        </w:rPr>
        <w:t>FINANCIAL &amp; LEGAL EVIDENCE ARCHIVE — SPECIAL REPORT</w:t>
      </w:r>
    </w:p>
    <w:p>
      <w:pPr>
        <w:spacing w:before="40" w:after="80"/>
      </w:pPr>
      <w:r>
        <w:rPr>
          <w:rFonts w:ascii="Calibri" w:hAnsi="Calibri"/>
          <w:b/>
          <w:color w:val="112244"/>
          <w:sz w:val="34"/>
        </w:rPr>
        <w:t>The FTA Won. Consumers Lost. Nobody's Coming.</w:t>
        <w:br/>
        <w:t>Buy Now, Pay Later (BNPL) Sector Analysis: Economic Fragility, Ghost Debt Stacking, and the Regulatory Circus</w:t>
      </w:r>
    </w:p>
    <w:p>
      <w:pPr>
        <w:spacing w:before="0" w:after="200"/>
      </w:pPr>
      <w:r>
        <w:rPr>
          <w:rFonts w:ascii="Calibri" w:hAnsi="Calibri"/>
          <w:i/>
          <w:color w:val="666666"/>
          <w:sz w:val="19"/>
        </w:rPr>
        <w:t>Financial Technology Association v. CFPB (Case 1:24-cv-02945 / 1:24-cv-02966, D.D.C.)</w:t>
        <w:br/>
        <w:t>Authored by: Charles W. Kinslow IV, J.D., C.P.A.  |  Regulatory Archive 2026</w:t>
      </w:r>
    </w:p>
    <w:p>
      <w:pPr>
        <w:spacing w:before="0" w:after="200"/>
        <w:pBdr>
          <w:bottom w:val="single" w:sz="12" w:space="1" w:color="112244"/>
        </w:pBdr>
      </w:pPr>
    </w:p>
    <w:p>
      <w:pPr>
        <w:keepNext/>
        <w:spacing w:before="280" w:after="80"/>
      </w:pPr>
      <w:r>
        <w:rPr>
          <w:rFonts w:ascii="Calibri" w:hAnsi="Calibri"/>
          <w:b/>
          <w:color w:val="112244"/>
          <w:sz w:val="26"/>
        </w:rPr>
        <w:t>1. Executive Overview: The FTA Won. Consumers Lost. Nobody's Coming.</w:t>
      </w:r>
    </w:p>
    <w:p>
      <w:pPr>
        <w:spacing w:before="0" w:after="100" w:line="276" w:lineRule="auto"/>
      </w:pPr>
      <w:r>
        <w:rPr>
          <w:rFonts w:ascii="Calibri" w:hAnsi="Calibri"/>
          <w:i w:val="0"/>
          <w:color w:val="222222"/>
          <w:sz w:val="21"/>
        </w:rPr>
        <w:t>The Financial Technology Association (FTA)—acting as the polished legal vanguard for Affirm, Klarna, Block/Afterpay, and Zip—supports the Consumer Financial Protection Bureau’s (CFPB) stated purpose in ensuring that consumers are provided the necessary disclosures to make an informed decision. And, perhaps even more noble: their professed desire to safeguard everyday borrowers against inaccurate and unfair billing practices.</w:t>
      </w:r>
    </w:p>
    <w:p>
      <w:pPr>
        <w:spacing w:before="0" w:after="100" w:line="276" w:lineRule="auto"/>
      </w:pPr>
      <w:r>
        <w:rPr>
          <w:rFonts w:ascii="Calibri" w:hAnsi="Calibri"/>
          <w:i w:val="0"/>
          <w:color w:val="222222"/>
          <w:sz w:val="21"/>
        </w:rPr>
        <w:t>A bold opening move by the FTA: echoing support for a position that would likely receive an approval rating in the high ninetieth-percentile, even in these hyper-polarized political times. Who could possibly oppose transparent terms, accurate statements, and getting your money back when a merchant ships you a defective box?</w:t>
      </w:r>
    </w:p>
    <w:p>
      <w:pPr>
        <w:spacing w:before="0" w:after="100" w:line="276" w:lineRule="auto"/>
      </w:pPr>
      <w:r>
        <w:rPr>
          <w:rFonts w:ascii="Calibri" w:hAnsi="Calibri"/>
          <w:i w:val="0"/>
          <w:color w:val="222222"/>
          <w:sz w:val="21"/>
        </w:rPr>
        <w:t>Now that we’ve disposed of the formalities, let’s pivot to the real issue in this matter: as even the best of intentions can result in unintended and unexpected consequences, the CFPB is required to adhere to the exact same 'bounds of the law' as any other law-abiding entity or sentient being. Especially since the agency operates with near-supernatural powers, wielded by a single unelected director with vast rule-making, enforcement, and investigative authority.</w:t>
      </w:r>
    </w:p>
    <w:p>
      <w:pPr>
        <w:spacing w:before="0" w:after="100" w:line="276" w:lineRule="auto"/>
      </w:pPr>
      <w:r>
        <w:rPr>
          <w:rFonts w:ascii="Calibri" w:hAnsi="Calibri"/>
          <w:i w:val="0"/>
          <w:color w:val="222222"/>
          <w:sz w:val="21"/>
        </w:rPr>
        <w:t>Historically, only a tiny handful of similarly-structured single-director agencies have ever existed in American administrative law:</w:t>
      </w:r>
    </w:p>
    <w:p>
      <w:pPr>
        <w:pStyle w:val="ListBullet"/>
        <w:spacing w:before="0" w:after="60" w:line="276" w:lineRule="auto"/>
      </w:pPr>
      <w:r>
        <w:rPr>
          <w:rFonts w:ascii="Calibri" w:hAnsi="Calibri"/>
          <w:b/>
          <w:color w:val="222222"/>
          <w:sz w:val="21"/>
        </w:rPr>
        <w:t xml:space="preserve">The SSA Dictatorship: </w:t>
      </w:r>
      <w:r>
        <w:rPr>
          <w:rFonts w:ascii="Calibri" w:hAnsi="Calibri"/>
          <w:color w:val="222222"/>
          <w:sz w:val="21"/>
        </w:rPr>
        <w:t>Social Security Administration (SSA): One man controls the economic lifeline for 70 million Americans—making the literal difference between eating and not eating, keeping a roof or losing one. The SSA relies on internal procedural manuals (POMS and HELIX) classified as binding simply because the SSA declared them so, rendering the APA an advisory afterthought before Administrative Law Judges.</w:t>
      </w:r>
    </w:p>
    <w:p>
      <w:pPr>
        <w:pStyle w:val="ListBullet"/>
        <w:spacing w:before="0" w:after="60" w:line="276" w:lineRule="auto"/>
      </w:pPr>
      <w:r>
        <w:rPr>
          <w:rFonts w:ascii="Calibri" w:hAnsi="Calibri"/>
          <w:b/>
          <w:color w:val="222222"/>
          <w:sz w:val="21"/>
        </w:rPr>
        <w:t xml:space="preserve">The FHFA Conservatorship: </w:t>
      </w:r>
      <w:r>
        <w:rPr>
          <w:rFonts w:ascii="Calibri" w:hAnsi="Calibri"/>
          <w:color w:val="222222"/>
          <w:sz w:val="21"/>
        </w:rPr>
        <w:t>Federal Housing Finance Agency (FHFA): One unelected overseer of the entire American housing finance system, managing $5.2 trillion in guaranteed mortgage debt and a $190 billion taxpayer bailout, with Fannie and Freddie languishing in conservatorship for over seventeen years.</w:t>
      </w:r>
    </w:p>
    <w:p>
      <w:pPr>
        <w:pStyle w:val="ListBullet"/>
        <w:spacing w:before="0" w:after="60" w:line="276" w:lineRule="auto"/>
      </w:pPr>
      <w:r>
        <w:rPr>
          <w:rFonts w:ascii="Calibri" w:hAnsi="Calibri"/>
          <w:b/>
          <w:color w:val="222222"/>
          <w:sz w:val="21"/>
        </w:rPr>
        <w:t xml:space="preserve">The CFPB Reality Check: </w:t>
      </w:r>
      <w:r>
        <w:rPr>
          <w:rFonts w:ascii="Calibri" w:hAnsi="Calibri"/>
          <w:color w:val="222222"/>
          <w:sz w:val="21"/>
        </w:rPr>
        <w:t>Consumer Financial Protection Bureau (CFPB): Armed with sweeping enforcement powers, yet yielding a meager track record: ~322 total enforcement actions from 2011 to 2024 (averaging ~25 per annum), while the SEC averages ~700, the FTC 50–70, and State AGs thousands. Supervisory exams collapsed from a peak of ~600 down to less than 70 in 2026, while touting headline consumer relief figures between $13.5B and $21B.</w:t>
      </w:r>
    </w:p>
    <w:p>
      <w:pPr>
        <w:spacing w:before="0" w:after="100" w:line="276" w:lineRule="auto"/>
      </w:pPr>
      <w:r>
        <w:rPr>
          <w:rFonts w:ascii="Calibri" w:hAnsi="Calibri"/>
          <w:i w:val="0"/>
          <w:color w:val="222222"/>
          <w:sz w:val="21"/>
        </w:rPr>
        <w:t>Clearly, the CFPB harnesses its power to strike whenever the FTA deems it outside the 'bounds of the law' and 'significant.' In its incisive prose, the FTA claims the CFPB's action impacts 'financial service providers and consumers in significant ways.' The FTA naturally doesn't expound on its definition of 'significant' because their premise is logically followed by the equally amorphous assertion that significance demands absolute adherence to the Administrative Procedure Act (APA). The APA was enacted in 1946 as a reaction to runaway agency discretion under the liberally-construed Chevron reasonable standard test. I’m all for precedent, but in the 75+ years since its inception, the times have fundamentally changed, and Stare Decisis insofar as this matter is an irrelevant line of inquiry.</w:t>
      </w:r>
    </w:p>
    <w:tbl>
      <w:tblPr>
        <w:tblW w:type="auto" w:w="0"/>
        <w:jc w:val="center"/>
        <w:tblLayout w:type="fixed"/>
        <w:tblLook w:firstColumn="1" w:firstRow="1" w:lastColumn="0" w:lastRow="0" w:noHBand="0" w:noVBand="1" w:val="04A0"/>
      </w:tblPr>
      <w:tblGrid>
        <w:gridCol w:w="9360"/>
      </w:tblGrid>
      <w:tr>
        <w:tc>
          <w:tcPr>
            <w:tcW w:type="dxa" w:w="9360"/>
            <w:shd w:fill="F4F6F9"/>
            <w:tcMar>
              <w:top w:w="160" w:type="dxa"/>
              <w:bottom w:w="160" w:type="dxa"/>
              <w:left w:w="200" w:type="dxa"/>
              <w:right w:w="200" w:type="dxa"/>
            </w:tcMar>
            <w:tcBorders>
              <w:top w:val="none"/>
              <w:left w:val="single" w:sz="28" w:space="0" w:color="8B0000"/>
              <w:bottom w:val="none"/>
              <w:right w:val="none"/>
            </w:tcBorders>
          </w:tcPr>
          <w:p>
            <w:pPr>
              <w:spacing w:before="0" w:after="80" w:line="276" w:lineRule="auto"/>
            </w:pPr>
            <w:r>
              <w:rPr>
                <w:rFonts w:ascii="Calibri" w:hAnsi="Calibri"/>
                <w:b/>
                <w:color w:val="8B0000"/>
                <w:sz w:val="21"/>
              </w:rPr>
              <w:t>CRITICAL REALITY: THE CORPORATE MINDSET</w:t>
              <w:br/>
            </w:r>
            <w:r>
              <w:rPr>
                <w:rFonts w:ascii="Calibri" w:hAnsi="Calibri"/>
                <w:color w:val="222222"/>
                <w:sz w:val="20"/>
              </w:rPr>
              <w:t>BNPLs aren't charities and they won't suffer inequities. Added disclosure costs and dispute obligations from genuine credit card regulation are simply more than these fragile balance sheets can bear. Their position espouses a corporate mindset that is tragically sad and satirically trite: demanding the hyper-lucrative margins of revolving consumer credit while hiding behind 1968 statutory exemptions meant for corner grocers and shoe repair shops.</w:t>
            </w:r>
          </w:p>
        </w:tc>
      </w:tr>
    </w:tbl>
    <w:p>
      <w:pPr>
        <w:spacing w:before="0" w:after="80"/>
      </w:pPr>
    </w:p>
    <w:p>
      <w:pPr>
        <w:keepNext/>
        <w:spacing w:before="280" w:after="80"/>
      </w:pPr>
      <w:r>
        <w:rPr>
          <w:rFonts w:ascii="Calibri" w:hAnsi="Calibri"/>
          <w:b/>
          <w:color w:val="112244"/>
          <w:sz w:val="26"/>
        </w:rPr>
        <w:t>2. Macroeconomic Environment: 'Ghost Debt', Debt Stacking, and the Grocery Mirage</w:t>
      </w:r>
    </w:p>
    <w:p>
      <w:pPr>
        <w:spacing w:before="0" w:after="100" w:line="276" w:lineRule="auto"/>
      </w:pPr>
      <w:r>
        <w:rPr>
          <w:rFonts w:ascii="Calibri" w:hAnsi="Calibri"/>
          <w:i w:val="0"/>
          <w:color w:val="222222"/>
          <w:sz w:val="21"/>
        </w:rPr>
        <w:t>Despite your claimed economic novelty, the business models across the BNPL landscape are near-identical and appear completely blind to the compounding effect that debt stacking, phantom loans, and eventual regulatory oversight will inflict on sustained margins and fixed costs. The empirical macroeconomic data for 2025–2026 reveals a consumer credit crisis brewing entirely off the books:</w:t>
      </w:r>
    </w:p>
    <w:p>
      <w:pPr>
        <w:pStyle w:val="ListBullet"/>
        <w:spacing w:before="0" w:after="60" w:line="276" w:lineRule="auto"/>
      </w:pPr>
      <w:r>
        <w:rPr>
          <w:rFonts w:ascii="Calibri" w:hAnsi="Calibri"/>
          <w:b/>
          <w:color w:val="222222"/>
          <w:sz w:val="21"/>
        </w:rPr>
        <w:t xml:space="preserve">Exploding Late Payments: </w:t>
      </w:r>
      <w:r>
        <w:rPr>
          <w:rFonts w:ascii="Calibri" w:hAnsi="Calibri"/>
          <w:color w:val="222222"/>
          <w:sz w:val="21"/>
        </w:rPr>
        <w:t>47% Delinquency Rate: Industry data reveals that 47% of BNPL users reported making at least one late payment in the past year—surging from 41% in 2025 and 34% in 2024. The Silicon Valley myth that BNPL represents 'responsible Gen Z budgeting' has officially evaporated.</w:t>
      </w:r>
    </w:p>
    <w:p>
      <w:pPr>
        <w:pStyle w:val="ListBullet"/>
        <w:spacing w:before="0" w:after="60" w:line="276" w:lineRule="auto"/>
      </w:pPr>
      <w:r>
        <w:rPr>
          <w:rFonts w:ascii="Calibri" w:hAnsi="Calibri"/>
          <w:b/>
          <w:color w:val="222222"/>
          <w:sz w:val="21"/>
        </w:rPr>
        <w:t xml:space="preserve">Systemic Debt Stacking: </w:t>
      </w:r>
      <w:r>
        <w:rPr>
          <w:rFonts w:ascii="Calibri" w:hAnsi="Calibri"/>
          <w:color w:val="222222"/>
          <w:sz w:val="21"/>
        </w:rPr>
        <w:t>63% Multi-App Loan Stacking: Nearly two-thirds (63%) of BNPL borrowers maintain active installment loans across multiple competing apps simultaneously, with 25% carrying three or more at once. Because underwriting engines operate in isolated silos, users effortlessly stack micro-debts until total repayments exceed disposable income.</w:t>
      </w:r>
    </w:p>
    <w:p>
      <w:pPr>
        <w:pStyle w:val="ListBullet"/>
        <w:spacing w:before="0" w:after="60" w:line="276" w:lineRule="auto"/>
      </w:pPr>
      <w:r>
        <w:rPr>
          <w:rFonts w:ascii="Calibri" w:hAnsi="Calibri"/>
          <w:b/>
          <w:color w:val="222222"/>
          <w:sz w:val="21"/>
        </w:rPr>
        <w:t xml:space="preserve">Financing the Dinner Table: </w:t>
      </w:r>
      <w:r>
        <w:rPr>
          <w:rFonts w:ascii="Calibri" w:hAnsi="Calibri"/>
          <w:color w:val="222222"/>
          <w:sz w:val="21"/>
        </w:rPr>
        <w:t>29% of Borrowing is for Groceries &amp; Essentials: BNPL has shifted violently from discretionary fashion and consumer electronics into survival borrowing. In 2026, 29% of transactions are for groceries, household staples, and utility bills (double the 14% recorded in 2024). Over 54% of consumers now admit they rely on BNPL just to make ends meet.</w:t>
      </w:r>
    </w:p>
    <w:p>
      <w:pPr>
        <w:pStyle w:val="ListBullet"/>
        <w:spacing w:before="0" w:after="60" w:line="276" w:lineRule="auto"/>
      </w:pPr>
      <w:r>
        <w:rPr>
          <w:rFonts w:ascii="Calibri" w:hAnsi="Calibri"/>
          <w:b/>
          <w:color w:val="222222"/>
          <w:sz w:val="21"/>
        </w:rPr>
        <w:t xml:space="preserve">Credit Bureau Invisibility: </w:t>
      </w:r>
      <w:r>
        <w:rPr>
          <w:rFonts w:ascii="Calibri" w:hAnsi="Calibri"/>
          <w:color w:val="222222"/>
          <w:sz w:val="21"/>
        </w:rPr>
        <w:t>The 'Ghost Debt' Blind Spot: Because BNPL loans rely on soft credit inquiries and deliberately bypass traditional credit bureau reporting (despite slow rollouts in FICO 10T and VantageScore 4.0), billions in high-velocity shadow debt remain completely invisible to mortgage, auto, and credit card underwriters. Fitch Ratings and the Richmond Federal Reserve have explicitly warned that this fragmented data masks severe household distress.</w:t>
      </w:r>
    </w:p>
    <w:p>
      <w:pPr>
        <w:spacing w:before="160" w:after="60"/>
      </w:pPr>
      <w:r>
        <w:rPr>
          <w:rFonts w:ascii="Calibri" w:hAnsi="Calibri"/>
          <w:b/>
          <w:color w:val="112244"/>
          <w:sz w:val="20"/>
        </w:rPr>
        <w:t>Table 1: BNPL Market Participants — Reported Metrics vs. Ground Truth (2024–2026)</w:t>
      </w:r>
    </w:p>
    <w:tbl>
      <w:tblPr>
        <w:tblW w:type="auto" w:w="0"/>
        <w:jc w:val="center"/>
        <w:tblLayout w:type="fixed"/>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340"/>
        <w:gridCol w:w="2340"/>
        <w:gridCol w:w="2340"/>
        <w:gridCol w:w="2340"/>
      </w:tblGrid>
      <w:tr>
        <w:tc>
          <w:tcPr>
            <w:tcW w:type="dxa" w:w="2160"/>
            <w:shd w:fill="112244"/>
            <w:tcMar>
              <w:top w:w="100" w:type="dxa"/>
              <w:bottom w:w="100" w:type="dxa"/>
              <w:left w:w="100" w:type="dxa"/>
              <w:right w:w="100" w:type="dxa"/>
            </w:tcMar>
          </w:tcPr>
          <w:p>
            <w:r>
              <w:rPr>
                <w:rFonts w:ascii="Calibri" w:hAnsi="Calibri"/>
                <w:b/>
                <w:color w:val="FFFFFF"/>
                <w:sz w:val="18"/>
              </w:rPr>
              <w:t>Provider / Segment</w:t>
            </w:r>
          </w:p>
        </w:tc>
        <w:tc>
          <w:tcPr>
            <w:tcW w:type="dxa" w:w="2304"/>
            <w:shd w:fill="112244"/>
            <w:tcMar>
              <w:top w:w="100" w:type="dxa"/>
              <w:bottom w:w="100" w:type="dxa"/>
              <w:left w:w="100" w:type="dxa"/>
              <w:right w:w="100" w:type="dxa"/>
            </w:tcMar>
          </w:tcPr>
          <w:p>
            <w:r>
              <w:rPr>
                <w:rFonts w:ascii="Calibri" w:hAnsi="Calibri"/>
                <w:b/>
                <w:color w:val="FFFFFF"/>
                <w:sz w:val="18"/>
              </w:rPr>
              <w:t>Reported Financial Health</w:t>
            </w:r>
          </w:p>
        </w:tc>
        <w:tc>
          <w:tcPr>
            <w:tcW w:type="dxa" w:w="2448"/>
            <w:shd w:fill="112244"/>
            <w:tcMar>
              <w:top w:w="100" w:type="dxa"/>
              <w:bottom w:w="100" w:type="dxa"/>
              <w:left w:w="100" w:type="dxa"/>
              <w:right w:w="100" w:type="dxa"/>
            </w:tcMar>
          </w:tcPr>
          <w:p>
            <w:r>
              <w:rPr>
                <w:rFonts w:ascii="Calibri" w:hAnsi="Calibri"/>
                <w:b/>
                <w:color w:val="FFFFFF"/>
                <w:sz w:val="18"/>
              </w:rPr>
              <w:t>Credit Performance &amp; Loss Provisions</w:t>
            </w:r>
          </w:p>
        </w:tc>
        <w:tc>
          <w:tcPr>
            <w:tcW w:type="dxa" w:w="2448"/>
            <w:shd w:fill="112244"/>
            <w:tcMar>
              <w:top w:w="100" w:type="dxa"/>
              <w:bottom w:w="100" w:type="dxa"/>
              <w:left w:w="100" w:type="dxa"/>
              <w:right w:w="100" w:type="dxa"/>
            </w:tcMar>
          </w:tcPr>
          <w:p>
            <w:r>
              <w:rPr>
                <w:rFonts w:ascii="Calibri" w:hAnsi="Calibri"/>
                <w:b/>
                <w:color w:val="FFFFFF"/>
                <w:sz w:val="18"/>
              </w:rPr>
              <w:t>Legal &amp; Strategic Posture</w:t>
            </w:r>
          </w:p>
        </w:tc>
      </w:tr>
      <w:tr>
        <w:tc>
          <w:tcPr>
            <w:tcW w:type="dxa" w:w="2160"/>
            <w:shd w:fill="F4F6F9"/>
            <w:tcMar>
              <w:top w:w="80" w:type="dxa"/>
              <w:bottom w:w="80" w:type="dxa"/>
              <w:left w:w="90" w:type="dxa"/>
              <w:right w:w="90" w:type="dxa"/>
            </w:tcMar>
          </w:tcPr>
          <w:p>
            <w:r>
              <w:rPr>
                <w:rFonts w:ascii="Calibri" w:hAnsi="Calibri"/>
                <w:color w:val="222222"/>
                <w:sz w:val="17"/>
              </w:rPr>
              <w:t>Affirm Holdings</w:t>
              <w:br/>
              <w:t>(NASDAQ: AFRM)</w:t>
            </w:r>
          </w:p>
        </w:tc>
        <w:tc>
          <w:tcPr>
            <w:tcW w:type="dxa" w:w="2304"/>
            <w:shd w:fill="F4F6F9"/>
            <w:tcMar>
              <w:top w:w="80" w:type="dxa"/>
              <w:bottom w:w="80" w:type="dxa"/>
              <w:left w:w="90" w:type="dxa"/>
              <w:right w:w="90" w:type="dxa"/>
            </w:tcMar>
          </w:tcPr>
          <w:p>
            <w:r>
              <w:rPr>
                <w:rFonts w:ascii="Calibri" w:hAnsi="Calibri"/>
                <w:color w:val="222222"/>
                <w:sz w:val="17"/>
              </w:rPr>
              <w:t>~$36B FY25 GMV;</w:t>
              <w:br/>
              <w:t>Approaching GAAP operating profitability</w:t>
            </w:r>
          </w:p>
        </w:tc>
        <w:tc>
          <w:tcPr>
            <w:tcW w:type="dxa" w:w="2448"/>
            <w:shd w:fill="F4F6F9"/>
            <w:tcMar>
              <w:top w:w="80" w:type="dxa"/>
              <w:bottom w:w="80" w:type="dxa"/>
              <w:left w:w="90" w:type="dxa"/>
              <w:right w:w="90" w:type="dxa"/>
            </w:tcMar>
          </w:tcPr>
          <w:p>
            <w:r>
              <w:rPr>
                <w:rFonts w:ascii="Calibri" w:hAnsi="Calibri"/>
                <w:color w:val="222222"/>
                <w:sz w:val="17"/>
              </w:rPr>
              <w:t>30+ day delinquencies stable at 2.7%; Pay-in-4 losses &lt;1%; Net charge-offs ~3.5%</w:t>
            </w:r>
          </w:p>
        </w:tc>
        <w:tc>
          <w:tcPr>
            <w:tcW w:type="dxa" w:w="2448"/>
            <w:shd w:fill="F4F6F9"/>
            <w:tcMar>
              <w:top w:w="80" w:type="dxa"/>
              <w:bottom w:w="80" w:type="dxa"/>
              <w:left w:w="90" w:type="dxa"/>
              <w:right w:w="90" w:type="dxa"/>
            </w:tcMar>
          </w:tcPr>
          <w:p>
            <w:r>
              <w:rPr>
                <w:rFonts w:ascii="Calibri" w:hAnsi="Calibri"/>
                <w:color w:val="222222"/>
                <w:sz w:val="17"/>
              </w:rPr>
              <w:t>Dominates Apple Pay / Amazon checkout; relies on mandatory arbitration to kill class actions.</w:t>
            </w:r>
          </w:p>
        </w:tc>
      </w:tr>
      <w:tr>
        <w:tc>
          <w:tcPr>
            <w:tcW w:type="dxa" w:w="2160"/>
            <w:shd w:fill="FFFFFF"/>
            <w:tcMar>
              <w:top w:w="80" w:type="dxa"/>
              <w:bottom w:w="80" w:type="dxa"/>
              <w:left w:w="90" w:type="dxa"/>
              <w:right w:w="90" w:type="dxa"/>
            </w:tcMar>
          </w:tcPr>
          <w:p>
            <w:r>
              <w:rPr>
                <w:rFonts w:ascii="Calibri" w:hAnsi="Calibri"/>
                <w:color w:val="222222"/>
                <w:sz w:val="17"/>
              </w:rPr>
              <w:t>Klarna Bank AB</w:t>
            </w:r>
          </w:p>
        </w:tc>
        <w:tc>
          <w:tcPr>
            <w:tcW w:type="dxa" w:w="2304"/>
            <w:shd w:fill="FFFFFF"/>
            <w:tcMar>
              <w:top w:w="80" w:type="dxa"/>
              <w:bottom w:w="80" w:type="dxa"/>
              <w:left w:w="90" w:type="dxa"/>
              <w:right w:w="90" w:type="dxa"/>
            </w:tcMar>
          </w:tcPr>
          <w:p>
            <w:r>
              <w:rPr>
                <w:rFonts w:ascii="Calibri" w:hAnsi="Calibri"/>
                <w:color w:val="222222"/>
                <w:sz w:val="17"/>
              </w:rPr>
              <w:t>$3.5B revenue (+25% YoY),</w:t>
              <w:br/>
              <w:t>but -$273M net loss in 2025; +$1M in Q1 2026</w:t>
            </w:r>
          </w:p>
        </w:tc>
        <w:tc>
          <w:tcPr>
            <w:tcW w:type="dxa" w:w="2448"/>
            <w:shd w:fill="FFFFFF"/>
            <w:tcMar>
              <w:top w:w="80" w:type="dxa"/>
              <w:bottom w:w="80" w:type="dxa"/>
              <w:left w:w="90" w:type="dxa"/>
              <w:right w:w="90" w:type="dxa"/>
            </w:tcMar>
          </w:tcPr>
          <w:p>
            <w:r>
              <w:rPr>
                <w:rFonts w:ascii="Calibri" w:hAnsi="Calibri"/>
                <w:color w:val="222222"/>
                <w:sz w:val="17"/>
              </w:rPr>
              <w:t>Crushed by upfront CECL/IFRS 9 credit provisions on long-term lending cohorts</w:t>
            </w:r>
          </w:p>
        </w:tc>
        <w:tc>
          <w:tcPr>
            <w:tcW w:type="dxa" w:w="2448"/>
            <w:shd w:fill="FFFFFF"/>
            <w:tcMar>
              <w:top w:w="80" w:type="dxa"/>
              <w:bottom w:w="80" w:type="dxa"/>
              <w:left w:w="90" w:type="dxa"/>
              <w:right w:w="90" w:type="dxa"/>
            </w:tcMar>
          </w:tcPr>
          <w:p>
            <w:r>
              <w:rPr>
                <w:rFonts w:ascii="Calibri" w:hAnsi="Calibri"/>
                <w:color w:val="222222"/>
                <w:sz w:val="17"/>
              </w:rPr>
              <w:t>Valuation collapsed from $45.6B peak; facing N.D. Ill. predatory lending class action &amp; Dutch suits.</w:t>
            </w:r>
          </w:p>
        </w:tc>
      </w:tr>
      <w:tr>
        <w:tc>
          <w:tcPr>
            <w:tcW w:type="dxa" w:w="2160"/>
            <w:shd w:fill="F4F6F9"/>
            <w:tcMar>
              <w:top w:w="80" w:type="dxa"/>
              <w:bottom w:w="80" w:type="dxa"/>
              <w:left w:w="90" w:type="dxa"/>
              <w:right w:w="90" w:type="dxa"/>
            </w:tcMar>
          </w:tcPr>
          <w:p>
            <w:r>
              <w:rPr>
                <w:rFonts w:ascii="Calibri" w:hAnsi="Calibri"/>
                <w:color w:val="222222"/>
                <w:sz w:val="17"/>
              </w:rPr>
              <w:t>Afterpay</w:t>
              <w:br/>
              <w:t>(Block, Inc.)</w:t>
            </w:r>
          </w:p>
        </w:tc>
        <w:tc>
          <w:tcPr>
            <w:tcW w:type="dxa" w:w="2304"/>
            <w:shd w:fill="F4F6F9"/>
            <w:tcMar>
              <w:top w:w="80" w:type="dxa"/>
              <w:bottom w:w="80" w:type="dxa"/>
              <w:left w:w="90" w:type="dxa"/>
              <w:right w:w="90" w:type="dxa"/>
            </w:tcMar>
          </w:tcPr>
          <w:p>
            <w:r>
              <w:rPr>
                <w:rFonts w:ascii="Calibri" w:hAnsi="Calibri"/>
                <w:color w:val="222222"/>
                <w:sz w:val="17"/>
              </w:rPr>
              <w:t>&gt;$1.04B annual revenue;</w:t>
              <w:br/>
              <w:t>Integrated into Cash App</w:t>
            </w:r>
          </w:p>
        </w:tc>
        <w:tc>
          <w:tcPr>
            <w:tcW w:type="dxa" w:w="2448"/>
            <w:shd w:fill="F4F6F9"/>
            <w:tcMar>
              <w:top w:w="80" w:type="dxa"/>
              <w:bottom w:w="80" w:type="dxa"/>
              <w:left w:w="90" w:type="dxa"/>
              <w:right w:w="90" w:type="dxa"/>
            </w:tcMar>
          </w:tcPr>
          <w:p>
            <w:r>
              <w:rPr>
                <w:rFonts w:ascii="Calibri" w:hAnsi="Calibri"/>
                <w:color w:val="222222"/>
                <w:sz w:val="17"/>
              </w:rPr>
              <w:t>Maintains loss optical metrics by repeatedly debiting depleted deposit accounts</w:t>
            </w:r>
          </w:p>
        </w:tc>
        <w:tc>
          <w:tcPr>
            <w:tcW w:type="dxa" w:w="2448"/>
            <w:shd w:fill="F4F6F9"/>
            <w:tcMar>
              <w:top w:w="80" w:type="dxa"/>
              <w:bottom w:w="80" w:type="dxa"/>
              <w:left w:w="90" w:type="dxa"/>
              <w:right w:w="90" w:type="dxa"/>
            </w:tcMar>
          </w:tcPr>
          <w:p>
            <w:r>
              <w:rPr>
                <w:rFonts w:ascii="Calibri" w:hAnsi="Calibri"/>
                <w:color w:val="222222"/>
                <w:sz w:val="17"/>
              </w:rPr>
              <w:t>Targeted by federal class actions (Sands v. Afterpay) for triggering devastating bank overdraft fees.</w:t>
            </w:r>
          </w:p>
        </w:tc>
      </w:tr>
      <w:tr>
        <w:tc>
          <w:tcPr>
            <w:tcW w:type="dxa" w:w="2160"/>
            <w:shd w:fill="FFFFFF"/>
            <w:tcMar>
              <w:top w:w="80" w:type="dxa"/>
              <w:bottom w:w="80" w:type="dxa"/>
              <w:left w:w="90" w:type="dxa"/>
              <w:right w:w="90" w:type="dxa"/>
            </w:tcMar>
          </w:tcPr>
          <w:p>
            <w:r>
              <w:rPr>
                <w:rFonts w:ascii="Calibri" w:hAnsi="Calibri"/>
                <w:color w:val="222222"/>
                <w:sz w:val="17"/>
              </w:rPr>
              <w:t>Zip Co Limited</w:t>
              <w:br/>
              <w:t>(ASX: ZIP)</w:t>
            </w:r>
          </w:p>
        </w:tc>
        <w:tc>
          <w:tcPr>
            <w:tcW w:type="dxa" w:w="2304"/>
            <w:shd w:fill="FFFFFF"/>
            <w:tcMar>
              <w:top w:w="80" w:type="dxa"/>
              <w:bottom w:w="80" w:type="dxa"/>
              <w:left w:w="90" w:type="dxa"/>
              <w:right w:w="90" w:type="dxa"/>
            </w:tcMar>
          </w:tcPr>
          <w:p>
            <w:r>
              <w:rPr>
                <w:rFonts w:ascii="Calibri" w:hAnsi="Calibri"/>
                <w:color w:val="222222"/>
                <w:sz w:val="17"/>
              </w:rPr>
              <w:t>$79.9M FY25 NPAT</w:t>
              <w:br/>
              <w:t>(+1,110% YoY turnaround via radical restructuring)</w:t>
            </w:r>
          </w:p>
        </w:tc>
        <w:tc>
          <w:tcPr>
            <w:tcW w:type="dxa" w:w="2448"/>
            <w:shd w:fill="FFFFFF"/>
            <w:tcMar>
              <w:top w:w="80" w:type="dxa"/>
              <w:bottom w:w="80" w:type="dxa"/>
              <w:left w:w="90" w:type="dxa"/>
              <w:right w:w="90" w:type="dxa"/>
            </w:tcMar>
          </w:tcPr>
          <w:p>
            <w:r>
              <w:rPr>
                <w:rFonts w:ascii="Calibri" w:hAnsi="Calibri"/>
                <w:color w:val="222222"/>
                <w:sz w:val="17"/>
              </w:rPr>
              <w:t>Enforces tight automated limits; reliant on U.S. consumer cash flow (&gt;80% earnings)</w:t>
            </w:r>
          </w:p>
        </w:tc>
        <w:tc>
          <w:tcPr>
            <w:tcW w:type="dxa" w:w="2448"/>
            <w:shd w:fill="FFFFFF"/>
            <w:tcMar>
              <w:top w:w="80" w:type="dxa"/>
              <w:bottom w:w="80" w:type="dxa"/>
              <w:left w:w="90" w:type="dxa"/>
              <w:right w:w="90" w:type="dxa"/>
            </w:tcMar>
          </w:tcPr>
          <w:p>
            <w:r>
              <w:rPr>
                <w:rFonts w:ascii="Calibri" w:hAnsi="Calibri"/>
                <w:color w:val="222222"/>
                <w:sz w:val="17"/>
              </w:rPr>
              <w:t>Fled UK, European, and rest-of-world markets to avoid mounting regulatory compliance costs.</w:t>
            </w:r>
          </w:p>
        </w:tc>
      </w:tr>
      <w:tr>
        <w:tc>
          <w:tcPr>
            <w:tcW w:type="dxa" w:w="2160"/>
            <w:shd w:fill="F4F6F9"/>
            <w:tcMar>
              <w:top w:w="80" w:type="dxa"/>
              <w:bottom w:w="80" w:type="dxa"/>
              <w:left w:w="90" w:type="dxa"/>
              <w:right w:w="90" w:type="dxa"/>
            </w:tcMar>
          </w:tcPr>
          <w:p>
            <w:r>
              <w:rPr>
                <w:rFonts w:ascii="Calibri" w:hAnsi="Calibri"/>
                <w:color w:val="222222"/>
                <w:sz w:val="17"/>
              </w:rPr>
              <w:t>Laybuy &amp; Openpay</w:t>
              <w:br/>
              <w:t>(The Graveyard)</w:t>
            </w:r>
          </w:p>
        </w:tc>
        <w:tc>
          <w:tcPr>
            <w:tcW w:type="dxa" w:w="2304"/>
            <w:shd w:fill="F4F6F9"/>
            <w:tcMar>
              <w:top w:w="80" w:type="dxa"/>
              <w:bottom w:w="80" w:type="dxa"/>
              <w:left w:w="90" w:type="dxa"/>
              <w:right w:w="90" w:type="dxa"/>
            </w:tcMar>
          </w:tcPr>
          <w:p>
            <w:r>
              <w:rPr>
                <w:rFonts w:ascii="Calibri" w:hAnsi="Calibri"/>
                <w:color w:val="222222"/>
                <w:sz w:val="17"/>
              </w:rPr>
              <w:t>Laybuy: Receivership June 2024</w:t>
              <w:br/>
              <w:t>Openpay: Insolvent liquidation</w:t>
            </w:r>
          </w:p>
        </w:tc>
        <w:tc>
          <w:tcPr>
            <w:tcW w:type="dxa" w:w="2448"/>
            <w:shd w:fill="F4F6F9"/>
            <w:tcMar>
              <w:top w:w="80" w:type="dxa"/>
              <w:bottom w:w="80" w:type="dxa"/>
              <w:left w:w="90" w:type="dxa"/>
              <w:right w:w="90" w:type="dxa"/>
            </w:tcMar>
          </w:tcPr>
          <w:p>
            <w:r>
              <w:rPr>
                <w:rFonts w:ascii="Calibri" w:hAnsi="Calibri"/>
                <w:color w:val="222222"/>
                <w:sz w:val="17"/>
              </w:rPr>
              <w:t>Total credit collapse; unable to refinance wholesale warehouse debt facilities</w:t>
            </w:r>
          </w:p>
        </w:tc>
        <w:tc>
          <w:tcPr>
            <w:tcW w:type="dxa" w:w="2448"/>
            <w:shd w:fill="F4F6F9"/>
            <w:tcMar>
              <w:top w:w="80" w:type="dxa"/>
              <w:bottom w:w="80" w:type="dxa"/>
              <w:left w:w="90" w:type="dxa"/>
              <w:right w:w="90" w:type="dxa"/>
            </w:tcMar>
          </w:tcPr>
          <w:p>
            <w:r>
              <w:rPr>
                <w:rFonts w:ascii="Calibri" w:hAnsi="Calibri"/>
                <w:color w:val="222222"/>
                <w:sz w:val="17"/>
              </w:rPr>
              <w:t>Conclusive proof that standalone, zero-fee Pay-in-4 is mathematically unviable at scale.</w:t>
            </w:r>
          </w:p>
        </w:tc>
      </w:tr>
    </w:tbl>
    <w:p>
      <w:pPr>
        <w:spacing w:before="80" w:after="120"/>
      </w:pPr>
    </w:p>
    <w:p>
      <w:pPr>
        <w:keepNext/>
        <w:spacing w:before="280" w:after="80"/>
      </w:pPr>
      <w:r>
        <w:rPr>
          <w:rFonts w:ascii="Calibri" w:hAnsi="Calibri"/>
          <w:b/>
          <w:color w:val="112244"/>
          <w:sz w:val="26"/>
        </w:rPr>
        <w:t>3. Individual Participant Analysis: The 15 U.S.C. § 1602(g) Deception</w:t>
      </w:r>
    </w:p>
    <w:p>
      <w:pPr>
        <w:spacing w:before="0" w:after="100" w:line="276" w:lineRule="auto"/>
      </w:pPr>
      <w:r>
        <w:rPr>
          <w:rFonts w:ascii="Calibri" w:hAnsi="Calibri"/>
          <w:i w:val="0"/>
          <w:color w:val="222222"/>
          <w:sz w:val="21"/>
        </w:rPr>
        <w:t>The FTA poignantly cites 15 U.S.C. § 1602(g) as defining a 'creditor' according to certain criteria, pointing specifically to statutory text characterizing creditors as those providing credit payable by agreement in 'more than four installments' or for which a 'finance charge' is imposed. Let's examine how the major players actually operate once you strip away the statutory smoke and mirrors:</w:t>
      </w:r>
    </w:p>
    <w:p>
      <w:pPr>
        <w:keepNext/>
        <w:spacing w:before="200" w:after="60"/>
      </w:pPr>
      <w:r>
        <w:rPr>
          <w:rFonts w:ascii="Calibri" w:hAnsi="Calibri"/>
          <w:b/>
          <w:color w:val="8B0000"/>
          <w:sz w:val="22"/>
        </w:rPr>
        <w:t>A. Affirm Holdings, Inc. (AFRM)</w:t>
      </w:r>
    </w:p>
    <w:p>
      <w:pPr>
        <w:spacing w:before="0" w:after="100" w:line="276" w:lineRule="auto"/>
      </w:pPr>
      <w:r>
        <w:rPr>
          <w:rFonts w:ascii="Calibri" w:hAnsi="Calibri"/>
          <w:i w:val="0"/>
          <w:color w:val="222222"/>
          <w:sz w:val="21"/>
        </w:rPr>
        <w:t>Affirm likes to present itself as the virtuous, transparent alternative to credit cards—no late fees, no compounding interest. But Pay-in-4 is simply the top-of-funnel customer acquisition loss-leader. Affirm's real money engine is 12- to 36-month interest-bearing installment loans carrying APRs as high as 36%, financed via warehouse lines and Asset-Backed Securitization (ABS) debt.</w:t>
      </w:r>
    </w:p>
    <w:p>
      <w:pPr>
        <w:pStyle w:val="ListBullet"/>
        <w:spacing w:before="0" w:after="60" w:line="276" w:lineRule="auto"/>
      </w:pPr>
      <w:r>
        <w:rPr>
          <w:rFonts w:ascii="Calibri" w:hAnsi="Calibri"/>
          <w:b/>
          <w:color w:val="222222"/>
          <w:sz w:val="21"/>
        </w:rPr>
        <w:t xml:space="preserve">The Loss Cushion: </w:t>
      </w:r>
      <w:r>
        <w:rPr>
          <w:rFonts w:ascii="Calibri" w:hAnsi="Calibri"/>
          <w:color w:val="222222"/>
          <w:sz w:val="21"/>
        </w:rPr>
        <w:t>Credit Loss Provisions: Affirm carries a 5.4% allowance for credit losses against loans held for investment, with 30-plus-day delinquencies stabilized at 2.7% and net charge-offs near 3.5%.</w:t>
      </w:r>
    </w:p>
    <w:p>
      <w:pPr>
        <w:pStyle w:val="ListBullet"/>
        <w:spacing w:before="0" w:after="60" w:line="276" w:lineRule="auto"/>
      </w:pPr>
      <w:r>
        <w:rPr>
          <w:rFonts w:ascii="Calibri" w:hAnsi="Calibri"/>
          <w:b/>
          <w:color w:val="222222"/>
          <w:sz w:val="21"/>
        </w:rPr>
        <w:t xml:space="preserve">Distribution Moat: </w:t>
      </w:r>
      <w:r>
        <w:rPr>
          <w:rFonts w:ascii="Calibri" w:hAnsi="Calibri"/>
          <w:color w:val="222222"/>
          <w:sz w:val="21"/>
        </w:rPr>
        <w:t>The Apple &amp; Amazon Lifeline: When Apple abruptly killed its own lending division in June 2024, Affirm became the default installment engine inside Apple Pay. But this volume comes at a price: severe vulnerability to ABS funding spreads and rising merchant acquisition costs.</w:t>
      </w:r>
    </w:p>
    <w:p>
      <w:pPr>
        <w:keepNext/>
        <w:spacing w:before="200" w:after="60"/>
      </w:pPr>
      <w:r>
        <w:rPr>
          <w:rFonts w:ascii="Calibri" w:hAnsi="Calibri"/>
          <w:b/>
          <w:color w:val="8B0000"/>
          <w:sz w:val="22"/>
        </w:rPr>
        <w:t>B. Klarna: From Paper Unicorn to Provisioning Bloodbath</w:t>
      </w:r>
    </w:p>
    <w:p>
      <w:pPr>
        <w:spacing w:before="0" w:after="100" w:line="276" w:lineRule="auto"/>
      </w:pPr>
      <w:r>
        <w:rPr>
          <w:rFonts w:ascii="Calibri" w:hAnsi="Calibri"/>
          <w:i w:val="0"/>
          <w:color w:val="222222"/>
          <w:sz w:val="21"/>
        </w:rPr>
        <w:t>Klarna celebrated a tiny $21 million net profit in 2024, only to post a staggering -$273 million net loss in FY2025. Why? Because when you transition from a 6-week checkout widget into a full-scale digital bank offering multi-month 'Fair Financing,' statutory accounting rules (CECL/IFRS 9) mandate massive upfront provisions for expected credit losses. Klarna barely squeaked out a $1 million profit in Q1 2026 by replacing customer service staff with generative AI and squeezing merchant take-rates.</w:t>
      </w:r>
    </w:p>
    <w:p>
      <w:pPr>
        <w:keepNext/>
        <w:spacing w:before="200" w:after="60"/>
      </w:pPr>
      <w:r>
        <w:rPr>
          <w:rFonts w:ascii="Calibri" w:hAnsi="Calibri"/>
          <w:b/>
          <w:color w:val="8B0000"/>
          <w:sz w:val="22"/>
        </w:rPr>
        <w:t>C. The Graveyard of Market Entrants</w:t>
      </w:r>
    </w:p>
    <w:p>
      <w:pPr>
        <w:pStyle w:val="ListBullet"/>
        <w:spacing w:before="0" w:after="60" w:line="276" w:lineRule="auto"/>
      </w:pPr>
      <w:r>
        <w:rPr>
          <w:rFonts w:ascii="Calibri" w:hAnsi="Calibri"/>
          <w:b/>
          <w:color w:val="222222"/>
          <w:sz w:val="21"/>
        </w:rPr>
        <w:t xml:space="preserve">Laybuy Receivership: </w:t>
      </w:r>
      <w:r>
        <w:rPr>
          <w:rFonts w:ascii="Calibri" w:hAnsi="Calibri"/>
          <w:color w:val="222222"/>
          <w:sz w:val="21"/>
        </w:rPr>
        <w:t>Laybuy Group Holdings: Forced into receivership on June 17, 2024, after bleeding capital and failing to secure emergency debt financing. Klarna scavenged the operating book while liquidators battle over unpaid creditor claims in New Zealand High Court.</w:t>
      </w:r>
    </w:p>
    <w:p>
      <w:pPr>
        <w:pStyle w:val="ListBullet"/>
        <w:spacing w:before="0" w:after="60" w:line="276" w:lineRule="auto"/>
      </w:pPr>
      <w:r>
        <w:rPr>
          <w:rFonts w:ascii="Calibri" w:hAnsi="Calibri"/>
          <w:b/>
          <w:color w:val="222222"/>
          <w:sz w:val="21"/>
        </w:rPr>
        <w:t xml:space="preserve">Openpay Liquidation: </w:t>
      </w:r>
      <w:r>
        <w:rPr>
          <w:rFonts w:ascii="Calibri" w:hAnsi="Calibri"/>
          <w:color w:val="222222"/>
          <w:sz w:val="21"/>
        </w:rPr>
        <w:t>Openpay: Collapsed into insolvency and liquidation after burning its balance sheet trying to conquer the US and UK markets.</w:t>
      </w:r>
    </w:p>
    <w:p>
      <w:pPr>
        <w:pStyle w:val="ListBullet"/>
        <w:spacing w:before="0" w:after="60" w:line="276" w:lineRule="auto"/>
      </w:pPr>
      <w:r>
        <w:rPr>
          <w:rFonts w:ascii="Calibri" w:hAnsi="Calibri"/>
          <w:b/>
          <w:color w:val="222222"/>
          <w:sz w:val="21"/>
        </w:rPr>
        <w:t xml:space="preserve">Apple's Surrender: </w:t>
      </w:r>
      <w:r>
        <w:rPr>
          <w:rFonts w:ascii="Calibri" w:hAnsi="Calibri"/>
          <w:color w:val="222222"/>
          <w:sz w:val="21"/>
        </w:rPr>
        <w:t>Apple Pay Later: In June 2024, even Apple—the wealthiest corporate treasury on earth—shuttered Apple Financing LLC and abandoned first-party BNPL lending, deciding that consumer default risk and credit regulatory scrutiny were toxic to its core business.</w:t>
      </w:r>
    </w:p>
    <w:p>
      <w:pPr>
        <w:keepNext/>
        <w:spacing w:before="280" w:after="80"/>
      </w:pPr>
      <w:r>
        <w:rPr>
          <w:rFonts w:ascii="Calibri" w:hAnsi="Calibri"/>
          <w:b/>
          <w:color w:val="112244"/>
          <w:sz w:val="26"/>
        </w:rPr>
        <w:t>4. The Regulatory Circus: APA Coin Flips, NYDFS, and Legislative Palliatives</w:t>
      </w:r>
    </w:p>
    <w:p>
      <w:pPr>
        <w:spacing w:before="0" w:after="100" w:line="276" w:lineRule="auto"/>
      </w:pPr>
      <w:r>
        <w:rPr>
          <w:rFonts w:ascii="Calibri" w:hAnsi="Calibri"/>
          <w:i w:val="0"/>
          <w:color w:val="222222"/>
          <w:sz w:val="21"/>
        </w:rPr>
        <w:t>The Administrative Procedure Act has two particularly fascinating provisions that administrative lawyers brandish with religious fervor:</w:t>
      </w:r>
    </w:p>
    <w:p>
      <w:pPr>
        <w:pStyle w:val="ListBullet"/>
        <w:spacing w:before="0" w:after="60" w:line="276" w:lineRule="auto"/>
      </w:pPr>
      <w:r>
        <w:rPr>
          <w:rFonts w:ascii="Calibri" w:hAnsi="Calibri"/>
          <w:b/>
          <w:color w:val="222222"/>
          <w:sz w:val="21"/>
        </w:rPr>
        <w:t xml:space="preserve">The Discretion Shield: </w:t>
      </w:r>
      <w:r>
        <w:rPr>
          <w:rFonts w:ascii="Calibri" w:hAnsi="Calibri"/>
          <w:color w:val="222222"/>
          <w:sz w:val="21"/>
        </w:rPr>
        <w:t>APA § 701(a): Agency action committed to agency discretion by law is unreviewable; and</w:t>
      </w:r>
    </w:p>
    <w:p>
      <w:pPr>
        <w:pStyle w:val="ListBullet"/>
        <w:spacing w:before="0" w:after="60" w:line="276" w:lineRule="auto"/>
      </w:pPr>
      <w:r>
        <w:rPr>
          <w:rFonts w:ascii="Calibri" w:hAnsi="Calibri"/>
          <w:b/>
          <w:color w:val="222222"/>
          <w:sz w:val="21"/>
        </w:rPr>
        <w:t xml:space="preserve">The Arbitrary &amp; Capricious Hammer: </w:t>
      </w:r>
      <w:r>
        <w:rPr>
          <w:rFonts w:ascii="Calibri" w:hAnsi="Calibri"/>
          <w:color w:val="222222"/>
          <w:sz w:val="21"/>
        </w:rPr>
        <w:t>APA § 706(2)(A): Courts shall hold unlawful and set aside agency action found to be arbitrary, capricious, an abuse of discretion, or otherwise not in accordance with law.</w:t>
      </w:r>
    </w:p>
    <w:p>
      <w:pPr>
        <w:spacing w:before="0" w:after="100" w:line="276" w:lineRule="auto"/>
      </w:pPr>
      <w:r>
        <w:rPr>
          <w:rFonts w:ascii="Calibri" w:hAnsi="Calibri"/>
          <w:i w:val="0"/>
          <w:color w:val="222222"/>
          <w:sz w:val="21"/>
        </w:rPr>
        <w:t>I presume a coin flip determines which party’s interpretation of 'arbitrary and capricious' will apply on any given morning in the D.C. District Court. While the FTA and CFPB exchange hundreds of pages of legal briefing over whether a digital BNPL app account constitutes a 'credit card' under Regulation Z (12 C.F.R. § 1026.2(a)(15)), state and global regulators have stopped waiting for Washington:</w:t>
      </w:r>
    </w:p>
    <w:p>
      <w:pPr>
        <w:pStyle w:val="ListBullet"/>
        <w:spacing w:before="0" w:after="60" w:line="276" w:lineRule="auto"/>
      </w:pPr>
      <w:r>
        <w:rPr>
          <w:rFonts w:ascii="Calibri" w:hAnsi="Calibri"/>
          <w:b/>
          <w:color w:val="222222"/>
          <w:sz w:val="21"/>
        </w:rPr>
        <w:t xml:space="preserve">New York Drops the Hammer: </w:t>
      </w:r>
      <w:r>
        <w:rPr>
          <w:rFonts w:ascii="Calibri" w:hAnsi="Calibri"/>
          <w:color w:val="222222"/>
          <w:sz w:val="21"/>
        </w:rPr>
        <w:t>New York BNPL Act (NYDFS Proposed 3 NYCRR Part 425): Enacted in May 2025; NYDFS published formal proposed rules with public comments due September 14, 2026. The law establishes mandatory state licensing, caps interest rates at New York's 16% civil usury limit, outlaws unfair fee stacking, establishes statutory dispute timelines, and strictly bars fintechs from commercializing user transaction data without explicit opt-in consent.</w:t>
      </w:r>
    </w:p>
    <w:p>
      <w:pPr>
        <w:pStyle w:val="ListBullet"/>
        <w:spacing w:before="0" w:after="60" w:line="276" w:lineRule="auto"/>
      </w:pPr>
      <w:r>
        <w:rPr>
          <w:rFonts w:ascii="Calibri" w:hAnsi="Calibri"/>
          <w:b/>
          <w:color w:val="222222"/>
          <w:sz w:val="21"/>
        </w:rPr>
        <w:t xml:space="preserve">California Closes Loopholes: </w:t>
      </w:r>
      <w:r>
        <w:rPr>
          <w:rFonts w:ascii="Calibri" w:hAnsi="Calibri"/>
          <w:color w:val="222222"/>
          <w:sz w:val="21"/>
        </w:rPr>
        <w:t>California DFPI &amp; AB 2350: California regulates BNPL under the California Financing Law (CFL) and enforces deceptive practice bans under the CCFPL, while moving AB 2350 through the legislature to eradicate predatory 'Rent Now, Pay Later' schemes.</w:t>
      </w:r>
    </w:p>
    <w:p>
      <w:pPr>
        <w:pStyle w:val="ListBullet"/>
        <w:spacing w:before="0" w:after="60" w:line="276" w:lineRule="auto"/>
      </w:pPr>
      <w:r>
        <w:rPr>
          <w:rFonts w:ascii="Calibri" w:hAnsi="Calibri"/>
          <w:b/>
          <w:color w:val="222222"/>
          <w:sz w:val="21"/>
        </w:rPr>
        <w:t xml:space="preserve">Congressional Legislation: </w:t>
      </w:r>
      <w:r>
        <w:rPr>
          <w:rFonts w:ascii="Calibri" w:hAnsi="Calibri"/>
          <w:color w:val="222222"/>
          <w:sz w:val="21"/>
        </w:rPr>
        <w:t>Federal 'Buy Now, Pay Later Consumer Protection Act' (June 2026): Introduced by Rep. Dan Goldman (D-NY) to bypass the CFPB's litigation vulnerabilities and statutorily bind all BNPL lenders to TILA disclosure and dispute mandates.</w:t>
      </w:r>
    </w:p>
    <w:p>
      <w:pPr>
        <w:pStyle w:val="ListBullet"/>
        <w:spacing w:before="0" w:after="60" w:line="276" w:lineRule="auto"/>
      </w:pPr>
      <w:r>
        <w:rPr>
          <w:rFonts w:ascii="Calibri" w:hAnsi="Calibri"/>
          <w:b/>
          <w:color w:val="222222"/>
          <w:sz w:val="21"/>
        </w:rPr>
        <w:t xml:space="preserve">International Isolation: </w:t>
      </w:r>
      <w:r>
        <w:rPr>
          <w:rFonts w:ascii="Calibri" w:hAnsi="Calibri"/>
          <w:color w:val="222222"/>
          <w:sz w:val="21"/>
        </w:rPr>
        <w:t>Global Crackdowns (EU CCD II &amp; UK FCA): The EU Consumer Credit Directive II has completely abolished the under-€200 exemption, forcing full creditworthiness checks across Europe, while the UK FCA is dragging BNPL under FSMA authorization.</w:t>
      </w:r>
    </w:p>
    <w:p>
      <w:pPr>
        <w:keepNext/>
        <w:spacing w:before="280" w:after="80"/>
      </w:pPr>
      <w:r>
        <w:rPr>
          <w:rFonts w:ascii="Calibri" w:hAnsi="Calibri"/>
          <w:b/>
          <w:color w:val="112244"/>
          <w:sz w:val="26"/>
        </w:rPr>
        <w:t>5. The Litigation Battleground: Class Actions, Overdrafts, and the Clown Show</w:t>
      </w:r>
    </w:p>
    <w:p>
      <w:pPr>
        <w:spacing w:before="0" w:after="100" w:line="276" w:lineRule="auto"/>
      </w:pPr>
      <w:r>
        <w:rPr>
          <w:rFonts w:ascii="Calibri" w:hAnsi="Calibri"/>
          <w:i w:val="0"/>
          <w:color w:val="222222"/>
          <w:sz w:val="21"/>
        </w:rPr>
        <w:t>My perspective on the utility of administrative enforcement should be clear by now. Something for the windbags. A federal judge recently ruled against the CFPB for fast-tracking a settlement with a telecommunications provider involving settlement charges. In his self-righteous opinion, he criticized their supposed abandonment of consumer interests, arguing that the amount is a disservice to consumers because... crickets. So here you have a feckless CFPB, a fintech lobby crying poverty, and grandstanding judges proposing what exactly? That the CFPB engage a mega-firm to bring the house down? Complete clown show.</w:t>
      </w:r>
    </w:p>
    <w:p>
      <w:pPr>
        <w:spacing w:before="0" w:after="100" w:line="276" w:lineRule="auto"/>
      </w:pPr>
      <w:r>
        <w:rPr>
          <w:rFonts w:ascii="Calibri" w:hAnsi="Calibri"/>
          <w:i w:val="0"/>
          <w:color w:val="222222"/>
          <w:sz w:val="21"/>
        </w:rPr>
        <w:t>Meanwhile, real consumers are trapped in the trenches of private litigation:</w:t>
      </w:r>
    </w:p>
    <w:p>
      <w:pPr>
        <w:pStyle w:val="ListBullet"/>
        <w:spacing w:before="0" w:after="60" w:line="276" w:lineRule="auto"/>
      </w:pPr>
      <w:r>
        <w:rPr>
          <w:rFonts w:ascii="Calibri" w:hAnsi="Calibri"/>
          <w:b/>
          <w:color w:val="222222"/>
          <w:sz w:val="21"/>
        </w:rPr>
        <w:t xml:space="preserve">Klarna (N.D. Ill. 2026): </w:t>
      </w:r>
      <w:r>
        <w:rPr>
          <w:rFonts w:ascii="Calibri" w:hAnsi="Calibri"/>
          <w:color w:val="222222"/>
          <w:sz w:val="21"/>
        </w:rPr>
        <w:t>Klarna Predatory Lending Class Action (N.D. Ill. 2026): A blistering lawsuit asserting Klarna extends unvetted revolving credit to broke consumers without verifying income or ability to repay, relying on forced automatic debit withdrawals that systematically trigger cascading $35 bank overdraft and NSF fees.</w:t>
      </w:r>
    </w:p>
    <w:p>
      <w:pPr>
        <w:pStyle w:val="ListBullet"/>
        <w:spacing w:before="0" w:after="60" w:line="276" w:lineRule="auto"/>
      </w:pPr>
      <w:r>
        <w:rPr>
          <w:rFonts w:ascii="Calibri" w:hAnsi="Calibri"/>
          <w:b/>
          <w:color w:val="222222"/>
          <w:sz w:val="21"/>
        </w:rPr>
        <w:t xml:space="preserve">Afterpay Overdraft Suits: </w:t>
      </w:r>
      <w:r>
        <w:rPr>
          <w:rFonts w:ascii="Calibri" w:hAnsi="Calibri"/>
          <w:color w:val="222222"/>
          <w:sz w:val="21"/>
        </w:rPr>
        <w:t>Afterpay Overdraft Deception Litigation (Sands v. Afterpay US, Inc.): Class actions exposing the predatory reality behind 'no fees, no interest' marketing, demonstrating that uncoordinated recurring ACH debits systematically drain consumer checking accounts.</w:t>
      </w:r>
    </w:p>
    <w:p>
      <w:pPr>
        <w:pStyle w:val="ListBullet"/>
        <w:spacing w:before="0" w:after="60" w:line="276" w:lineRule="auto"/>
      </w:pPr>
      <w:r>
        <w:rPr>
          <w:rFonts w:ascii="Calibri" w:hAnsi="Calibri"/>
          <w:b/>
          <w:color w:val="222222"/>
          <w:sz w:val="21"/>
        </w:rPr>
        <w:t xml:space="preserve">Affirm / Evolve Bank Settlement: </w:t>
      </w:r>
      <w:r>
        <w:rPr>
          <w:rFonts w:ascii="Calibri" w:hAnsi="Calibri"/>
          <w:color w:val="222222"/>
          <w:sz w:val="21"/>
        </w:rPr>
        <w:t>Affirm &amp; Evolve Bank Data Breach Settlement (MDL 2:24-md-03127): A multidistrict class settlement finalized in December 2025 after millions of Affirm borrower records were compromised via partner bank Evolve Bank &amp; Trust.</w:t>
      </w:r>
    </w:p>
    <w:p>
      <w:pPr>
        <w:pStyle w:val="ListBullet"/>
        <w:spacing w:before="0" w:after="60" w:line="276" w:lineRule="auto"/>
      </w:pPr>
      <w:r>
        <w:rPr>
          <w:rFonts w:ascii="Calibri" w:hAnsi="Calibri"/>
          <w:b/>
          <w:color w:val="222222"/>
          <w:sz w:val="21"/>
        </w:rPr>
        <w:t xml:space="preserve">European Litigation: </w:t>
      </w:r>
      <w:r>
        <w:rPr>
          <w:rFonts w:ascii="Calibri" w:hAnsi="Calibri"/>
          <w:color w:val="222222"/>
          <w:sz w:val="21"/>
        </w:rPr>
        <w:t>Dutch Collective Action Against Klarna (July 2026): A Netherlands consumer foundation taking Klarna to court for systemic violations of EU credit assessment laws and unlawful penalty fee structures.</w:t>
      </w:r>
    </w:p>
    <w:p>
      <w:pPr>
        <w:keepNext/>
        <w:spacing w:before="280" w:after="80"/>
      </w:pPr>
      <w:r>
        <w:rPr>
          <w:rFonts w:ascii="Calibri" w:hAnsi="Calibri"/>
          <w:b/>
          <w:color w:val="112244"/>
          <w:sz w:val="26"/>
        </w:rPr>
        <w:t>6. Table of Authorities &amp; Statutory Citations</w:t>
      </w:r>
    </w:p>
    <w:p>
      <w:pPr>
        <w:keepNext/>
        <w:spacing w:before="200" w:after="60"/>
      </w:pPr>
      <w:r>
        <w:rPr>
          <w:rFonts w:ascii="Calibri" w:hAnsi="Calibri"/>
          <w:b/>
          <w:color w:val="8B0000"/>
          <w:sz w:val="22"/>
        </w:rPr>
        <w:t>A. Statutes, Regulations &amp; Legislative Materials</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Consumer Financial Protection Bureau, Interpretive Rule: Use of Digital User Accounts to Access Buy Now, Pay Later Products, 89 Fed. Reg. 47072 (May 31, 2024) (codified at 12 C.F.R. Part 1026 / Regulation Z).</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Truth in Lending Act (TILA), 15 U.S.C. § 1601 et seq.; 15 U.S.C. § 1602(g) (creditor definition); Regulation Z, 12 C.F.R. § 1026.2(a)(15) (card issuer definitions).</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Administrative Procedure Act (APA), 5 U.S.C. §§ 553 (rulemaking), 701(a) (agency discretion), 706(2)(A) (arbitrary and capricious standard).</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Buy Now, Pay Later Consumer Protection Act, H.R. 8762, 119th Cong. (introduced by Rep. Daniel S. Goldman, June 2026).</w:t>
      </w:r>
    </w:p>
    <w:p>
      <w:pPr>
        <w:pStyle w:val="ListBullet"/>
        <w:spacing w:before="0" w:after="60" w:line="276" w:lineRule="auto"/>
      </w:pPr>
      <w:r>
        <w:rPr>
          <w:rFonts w:ascii="Calibri" w:hAnsi="Calibri"/>
          <w:b/>
          <w:color w:val="222222"/>
          <w:sz w:val="21"/>
        </w:rPr>
        <w:t xml:space="preserve">5. </w:t>
      </w:r>
      <w:r>
        <w:rPr>
          <w:rFonts w:ascii="Calibri" w:hAnsi="Calibri"/>
          <w:color w:val="222222"/>
          <w:sz w:val="21"/>
        </w:rPr>
        <w:t>New York Buy Now, Pay Later Act, N.Y. Banking Law Art. 9-B §§ 380–395 (enacted May 2025); New York Department of Financial Services (NYDFS), Proposed 3 NYCRR Part 425 (Notice of Proposed Rulemaking, July 2026; public comments due September 14, 2026).</w:t>
      </w:r>
    </w:p>
    <w:p>
      <w:pPr>
        <w:pStyle w:val="ListBullet"/>
        <w:spacing w:before="0" w:after="60" w:line="276" w:lineRule="auto"/>
      </w:pPr>
      <w:r>
        <w:rPr>
          <w:rFonts w:ascii="Calibri" w:hAnsi="Calibri"/>
          <w:b/>
          <w:color w:val="222222"/>
          <w:sz w:val="21"/>
        </w:rPr>
        <w:t xml:space="preserve">6. </w:t>
      </w:r>
      <w:r>
        <w:rPr>
          <w:rFonts w:ascii="Calibri" w:hAnsi="Calibri"/>
          <w:color w:val="222222"/>
          <w:sz w:val="21"/>
        </w:rPr>
        <w:t>California Financing Law (CFL), Cal. Fin. Code § 22000 et seq.; California Consumer Financial Protection Law (CCFPL), Cal. Fin. Code § 90000 et seq.; Cal. Assemb. Bill 2350 (2025–2026 Reg. Sess.).</w:t>
      </w:r>
    </w:p>
    <w:p>
      <w:pPr>
        <w:pStyle w:val="ListBullet"/>
        <w:spacing w:before="0" w:after="60" w:line="276" w:lineRule="auto"/>
      </w:pPr>
      <w:r>
        <w:rPr>
          <w:rFonts w:ascii="Calibri" w:hAnsi="Calibri"/>
          <w:b/>
          <w:color w:val="222222"/>
          <w:sz w:val="21"/>
        </w:rPr>
        <w:t xml:space="preserve">7. </w:t>
      </w:r>
      <w:r>
        <w:rPr>
          <w:rFonts w:ascii="Calibri" w:hAnsi="Calibri"/>
          <w:color w:val="222222"/>
          <w:sz w:val="21"/>
        </w:rPr>
        <w:t>Directive (EU) 2023/2225 of the European Parliament and of the Council of 18 October 2023 on credit agreements for consumers (CCD II).</w:t>
      </w:r>
    </w:p>
    <w:p>
      <w:pPr>
        <w:pStyle w:val="ListBullet"/>
        <w:spacing w:before="0" w:after="60" w:line="276" w:lineRule="auto"/>
      </w:pPr>
      <w:r>
        <w:rPr>
          <w:rFonts w:ascii="Calibri" w:hAnsi="Calibri"/>
          <w:b/>
          <w:color w:val="222222"/>
          <w:sz w:val="21"/>
        </w:rPr>
        <w:t xml:space="preserve">8. </w:t>
      </w:r>
      <w:r>
        <w:rPr>
          <w:rFonts w:ascii="Calibri" w:hAnsi="Calibri"/>
          <w:color w:val="222222"/>
          <w:sz w:val="21"/>
        </w:rPr>
        <w:t>United Kingdom Financial Services and Markets Act 2000 (FSMA), c. 8; HM Treasury &amp; FCA BNPL Consultation &amp; Draft Regulations (2024–2026).</w:t>
      </w:r>
    </w:p>
    <w:p>
      <w:pPr>
        <w:pStyle w:val="ListBullet"/>
        <w:spacing w:before="0" w:after="60" w:line="276" w:lineRule="auto"/>
      </w:pPr>
      <w:r>
        <w:rPr>
          <w:rFonts w:ascii="Calibri" w:hAnsi="Calibri"/>
          <w:b/>
          <w:color w:val="222222"/>
          <w:sz w:val="21"/>
        </w:rPr>
        <w:t xml:space="preserve">9. </w:t>
      </w:r>
      <w:r>
        <w:rPr>
          <w:rFonts w:ascii="Calibri" w:hAnsi="Calibri"/>
          <w:color w:val="222222"/>
          <w:sz w:val="21"/>
        </w:rPr>
        <w:t>Treasury Laws Amendment (Buy Now Pay Later) Bill 2024 (amending National Consumer Credit Protection Act 2009 (Cth), Australia).</w:t>
      </w:r>
    </w:p>
    <w:p>
      <w:pPr>
        <w:keepNext/>
        <w:spacing w:before="200" w:after="60"/>
      </w:pPr>
      <w:r>
        <w:rPr>
          <w:rFonts w:ascii="Calibri" w:hAnsi="Calibri"/>
          <w:b/>
          <w:color w:val="8B0000"/>
          <w:sz w:val="22"/>
        </w:rPr>
        <w:t>B. Case Law, Dockets &amp; Judicial Proceedings</w:t>
      </w:r>
    </w:p>
    <w:p>
      <w:pPr>
        <w:pStyle w:val="ListBullet"/>
        <w:spacing w:before="0" w:after="60" w:line="276" w:lineRule="auto"/>
      </w:pPr>
      <w:r>
        <w:rPr>
          <w:rFonts w:ascii="Calibri" w:hAnsi="Calibri"/>
          <w:b/>
          <w:color w:val="222222"/>
          <w:sz w:val="21"/>
        </w:rPr>
        <w:t xml:space="preserve">10. </w:t>
      </w:r>
      <w:r>
        <w:rPr>
          <w:rFonts w:ascii="Calibri" w:hAnsi="Calibri"/>
          <w:color w:val="222222"/>
          <w:sz w:val="21"/>
        </w:rPr>
        <w:t>Financial Technology Association v. Consumer Financial Protection Bureau, No. 1:24-cv-02945 (D.D.C. filed Oct. 18, 2024) (APA challenge to Regulation Z Interpretive Rule).</w:t>
      </w:r>
    </w:p>
    <w:p>
      <w:pPr>
        <w:pStyle w:val="ListBullet"/>
        <w:spacing w:before="0" w:after="60" w:line="276" w:lineRule="auto"/>
      </w:pPr>
      <w:r>
        <w:rPr>
          <w:rFonts w:ascii="Calibri" w:hAnsi="Calibri"/>
          <w:b/>
          <w:color w:val="222222"/>
          <w:sz w:val="21"/>
        </w:rPr>
        <w:t xml:space="preserve">11. </w:t>
      </w:r>
      <w:r>
        <w:rPr>
          <w:rFonts w:ascii="Calibri" w:hAnsi="Calibri"/>
          <w:color w:val="222222"/>
          <w:sz w:val="21"/>
        </w:rPr>
        <w:t>Doe et al. v. Klarna Inc., No. 1:26-cv-02184 (N.D. Ill. filed 2026) (class action asserting predatory lending, lack of underwriting, and automated overdraft causation).</w:t>
      </w:r>
    </w:p>
    <w:p>
      <w:pPr>
        <w:pStyle w:val="ListBullet"/>
        <w:spacing w:before="0" w:after="60" w:line="276" w:lineRule="auto"/>
      </w:pPr>
      <w:r>
        <w:rPr>
          <w:rFonts w:ascii="Calibri" w:hAnsi="Calibri"/>
          <w:b/>
          <w:color w:val="222222"/>
          <w:sz w:val="21"/>
        </w:rPr>
        <w:t xml:space="preserve">12. </w:t>
      </w:r>
      <w:r>
        <w:rPr>
          <w:rFonts w:ascii="Calibri" w:hAnsi="Calibri"/>
          <w:color w:val="222222"/>
          <w:sz w:val="21"/>
        </w:rPr>
        <w:t>Sands v. Afterpay US, Inc., No. 4:21-cv-02758 (N.D. Cal.) (class action asserting deceptive marketing and unlawful ACH overdraft fee triggers).</w:t>
      </w:r>
    </w:p>
    <w:p>
      <w:pPr>
        <w:pStyle w:val="ListBullet"/>
        <w:spacing w:before="0" w:after="60" w:line="276" w:lineRule="auto"/>
      </w:pPr>
      <w:r>
        <w:rPr>
          <w:rFonts w:ascii="Calibri" w:hAnsi="Calibri"/>
          <w:b/>
          <w:color w:val="222222"/>
          <w:sz w:val="21"/>
        </w:rPr>
        <w:t xml:space="preserve">13. </w:t>
      </w:r>
      <w:r>
        <w:rPr>
          <w:rFonts w:ascii="Calibri" w:hAnsi="Calibri"/>
          <w:color w:val="222222"/>
          <w:sz w:val="21"/>
        </w:rPr>
        <w:t>In re Evolve Bank &amp; Trust Customer Data Security Breach Litigation, No. 2:24-md-03127 (W.D. Tenn. final settlement approved Dec. 2025).</w:t>
      </w:r>
    </w:p>
    <w:p>
      <w:pPr>
        <w:pStyle w:val="ListBullet"/>
        <w:spacing w:before="0" w:after="60" w:line="276" w:lineRule="auto"/>
      </w:pPr>
      <w:r>
        <w:rPr>
          <w:rFonts w:ascii="Calibri" w:hAnsi="Calibri"/>
          <w:b/>
          <w:color w:val="222222"/>
          <w:sz w:val="21"/>
        </w:rPr>
        <w:t xml:space="preserve">14. </w:t>
      </w:r>
      <w:r>
        <w:rPr>
          <w:rFonts w:ascii="Calibri" w:hAnsi="Calibri"/>
          <w:color w:val="222222"/>
          <w:sz w:val="21"/>
        </w:rPr>
        <w:t>Stichting Consumentenbelang v. Klarna Bank AB (District Court of Amsterdam, filed July 2026) (Dutch collective action on creditworthiness assessments).</w:t>
      </w:r>
    </w:p>
    <w:p>
      <w:pPr>
        <w:keepNext/>
        <w:spacing w:before="200" w:after="60"/>
      </w:pPr>
      <w:r>
        <w:rPr>
          <w:rFonts w:ascii="Calibri" w:hAnsi="Calibri"/>
          <w:b/>
          <w:color w:val="8B0000"/>
          <w:sz w:val="22"/>
        </w:rPr>
        <w:t>C. Financial Reports, SEC Filings &amp; Macroeconomic Studies</w:t>
      </w:r>
    </w:p>
    <w:p>
      <w:pPr>
        <w:pStyle w:val="ListBullet"/>
        <w:spacing w:before="0" w:after="60" w:line="276" w:lineRule="auto"/>
      </w:pPr>
      <w:r>
        <w:rPr>
          <w:rFonts w:ascii="Calibri" w:hAnsi="Calibri"/>
          <w:b/>
          <w:color w:val="222222"/>
          <w:sz w:val="21"/>
        </w:rPr>
        <w:t xml:space="preserve">15. </w:t>
      </w:r>
      <w:r>
        <w:rPr>
          <w:rFonts w:ascii="Calibri" w:hAnsi="Calibri"/>
          <w:color w:val="222222"/>
          <w:sz w:val="21"/>
        </w:rPr>
        <w:t>Affirm Holdings, Inc., Form 10-K for FY ended June 30, 2025 &amp; Form 10-Q for Period Ended March 31, 2026 (disclosing ~$36B GMV, 5.4% credit loss allowance, 2.7% 30-day delinquency).</w:t>
      </w:r>
    </w:p>
    <w:p>
      <w:pPr>
        <w:pStyle w:val="ListBullet"/>
        <w:spacing w:before="0" w:after="60" w:line="276" w:lineRule="auto"/>
      </w:pPr>
      <w:r>
        <w:rPr>
          <w:rFonts w:ascii="Calibri" w:hAnsi="Calibri"/>
          <w:b/>
          <w:color w:val="222222"/>
          <w:sz w:val="21"/>
        </w:rPr>
        <w:t xml:space="preserve">16. </w:t>
      </w:r>
      <w:r>
        <w:rPr>
          <w:rFonts w:ascii="Calibri" w:hAnsi="Calibri"/>
          <w:color w:val="222222"/>
          <w:sz w:val="21"/>
        </w:rPr>
        <w:t>Klarna Bank AB (publ), Annual Report 2024 &amp; Interim Report January–December 2025 ($21M net income 2024; -$273M net loss 2025; +$1M net profit Q1 2026).</w:t>
      </w:r>
    </w:p>
    <w:p>
      <w:pPr>
        <w:pStyle w:val="ListBullet"/>
        <w:spacing w:before="0" w:after="60" w:line="276" w:lineRule="auto"/>
      </w:pPr>
      <w:r>
        <w:rPr>
          <w:rFonts w:ascii="Calibri" w:hAnsi="Calibri"/>
          <w:b/>
          <w:color w:val="222222"/>
          <w:sz w:val="21"/>
        </w:rPr>
        <w:t xml:space="preserve">17. </w:t>
      </w:r>
      <w:r>
        <w:rPr>
          <w:rFonts w:ascii="Calibri" w:hAnsi="Calibri"/>
          <w:color w:val="222222"/>
          <w:sz w:val="21"/>
        </w:rPr>
        <w:t>Block, Inc., Form 10-K for Year Ended December 31, 2025 (disclosing Afterpay revenue contributions &gt;$1.04B and Cash App integration).</w:t>
      </w:r>
    </w:p>
    <w:p>
      <w:pPr>
        <w:pStyle w:val="ListBullet"/>
        <w:spacing w:before="0" w:after="60" w:line="276" w:lineRule="auto"/>
      </w:pPr>
      <w:r>
        <w:rPr>
          <w:rFonts w:ascii="Calibri" w:hAnsi="Calibri"/>
          <w:b/>
          <w:color w:val="222222"/>
          <w:sz w:val="21"/>
        </w:rPr>
        <w:t xml:space="preserve">18. </w:t>
      </w:r>
      <w:r>
        <w:rPr>
          <w:rFonts w:ascii="Calibri" w:hAnsi="Calibri"/>
          <w:color w:val="222222"/>
          <w:sz w:val="21"/>
        </w:rPr>
        <w:t>Zip Co Limited, FY25 Annual Financial Report (ASX: ZIP) ($79.9M NPAT; divestment of UK/European operations).</w:t>
      </w:r>
    </w:p>
    <w:p>
      <w:pPr>
        <w:pStyle w:val="ListBullet"/>
        <w:spacing w:before="0" w:after="60" w:line="276" w:lineRule="auto"/>
      </w:pPr>
      <w:r>
        <w:rPr>
          <w:rFonts w:ascii="Calibri" w:hAnsi="Calibri"/>
          <w:b/>
          <w:color w:val="222222"/>
          <w:sz w:val="21"/>
        </w:rPr>
        <w:t xml:space="preserve">19. </w:t>
      </w:r>
      <w:r>
        <w:rPr>
          <w:rFonts w:ascii="Calibri" w:hAnsi="Calibri"/>
          <w:color w:val="222222"/>
          <w:sz w:val="21"/>
        </w:rPr>
        <w:t>Federal Reserve Bank of Richmond, 'Buy Now, Pay Later: A Snapshot of Market Trends and Consumer Risks,' Economic Brief (2025/2026).</w:t>
      </w:r>
    </w:p>
    <w:p>
      <w:pPr>
        <w:pStyle w:val="ListBullet"/>
        <w:spacing w:before="0" w:after="60" w:line="276" w:lineRule="auto"/>
      </w:pPr>
      <w:r>
        <w:rPr>
          <w:rFonts w:ascii="Calibri" w:hAnsi="Calibri"/>
          <w:b/>
          <w:color w:val="222222"/>
          <w:sz w:val="21"/>
        </w:rPr>
        <w:t xml:space="preserve">20. </w:t>
      </w:r>
      <w:r>
        <w:rPr>
          <w:rFonts w:ascii="Calibri" w:hAnsi="Calibri"/>
          <w:color w:val="222222"/>
          <w:sz w:val="21"/>
        </w:rPr>
        <w:t>Fitch Ratings, 'Global Consumer Credit Outlook: Shadow Debt and BNPL Delinquency Pressures' (Late 2025/2026 Report).</w:t>
      </w:r>
    </w:p>
    <w:p>
      <w:pPr>
        <w:pStyle w:val="ListBullet"/>
        <w:spacing w:before="0" w:after="60" w:line="276" w:lineRule="auto"/>
      </w:pPr>
      <w:r>
        <w:rPr>
          <w:rFonts w:ascii="Calibri" w:hAnsi="Calibri"/>
          <w:b/>
          <w:color w:val="222222"/>
          <w:sz w:val="21"/>
        </w:rPr>
        <w:t xml:space="preserve">21. </w:t>
      </w:r>
      <w:r>
        <w:rPr>
          <w:rFonts w:ascii="Calibri" w:hAnsi="Calibri"/>
          <w:color w:val="222222"/>
          <w:sz w:val="21"/>
        </w:rPr>
        <w:t>Laybuy Group Holdings Ltd (in Receivership &amp; Liquidation), Liquidators' Six-Monthly Report (High Court of New Zealand, 2024–2025).</w:t>
      </w:r>
    </w:p>
    <w:p>
      <w:pPr>
        <w:spacing w:before="320" w:after="40"/>
      </w:pPr>
      <w:r>
        <w:rPr>
          <w:rFonts w:ascii="Calibri" w:hAnsi="Calibri"/>
          <w:b/>
          <w:color w:val="112244"/>
          <w:sz w:val="22"/>
        </w:rPr>
        <w:t>— Charles W. Kinslow IV, J.D., C.P.A.</w:t>
      </w:r>
    </w:p>
    <w:p>
      <w:pPr>
        <w:spacing w:before="0" w:after="120"/>
      </w:pPr>
      <w:r>
        <w:rPr>
          <w:rFonts w:ascii="Calibri" w:hAnsi="Calibri"/>
          <w:i/>
          <w:color w:val="666666"/>
          <w:sz w:val="19"/>
        </w:rPr>
        <w:t>@Affirm @CFPB @Financial Technology Association @Morgan Lewis &amp; Bockius LLP #BNPL #BuyNowPayLater #ConsumerProtection #Fintech #GhostDebt #RegulatoryArchive2026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The FTA Won. Consumers Lost. Nobody's Coming. | Charles W. Kinslow IV, J.D., C.P.A.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