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284C7"/>
          <w:sz w:val="20"/>
        </w:rPr>
        <w:t>PUBLIC REGULATORY ARCHIVE &amp; EVIDENCE VAULT</w:t>
      </w:r>
    </w:p>
    <w:p>
      <w:pPr>
        <w:spacing w:after="80"/>
      </w:pPr>
      <w:r>
        <w:rPr>
          <w:b/>
          <w:color w:val="0F172A"/>
          <w:sz w:val="48"/>
        </w:rPr>
        <w:t>Master Codebase Operations &amp; Maintenance Manual</w:t>
      </w:r>
    </w:p>
    <w:p>
      <w:pPr>
        <w:spacing w:after="280"/>
      </w:pPr>
      <w:r>
        <w:rPr>
          <w:color w:val="475569"/>
          <w:sz w:val="26"/>
        </w:rPr>
        <w:t>A Complete, Step-by-Step Guide to Managing, Auditing, and Expanding the Regulatory Archive Without Subscription Tools</w:t>
      </w:r>
    </w:p>
    <w:tbl>
      <w:tblPr>
        <w:tblW w:type="auto" w:w="0"/>
        <w:jc w:val="center"/>
        <w:tblLayout w:type="fixed"/>
        <w:tblLook w:firstColumn="1" w:firstRow="1" w:lastColumn="0" w:lastRow="0" w:noHBand="0" w:noVBand="1" w:val="04A0"/>
      </w:tblPr>
      <w:tblGrid>
        <w:gridCol w:w="9360"/>
      </w:tblGrid>
      <w:tr>
        <w:tc>
          <w:tcPr>
            <w:tcW w:type="dxa" w:w="9936"/>
            <w:shd w:fill="F1F5F9"/>
            <w:tcMar>
              <w:top w:w="140" w:type="dxa"/>
              <w:bottom w:w="140" w:type="dxa"/>
              <w:left w:w="180" w:type="dxa"/>
              <w:right w:w="180" w:type="dxa"/>
            </w:tcMar>
          </w:tcPr>
          <w:p>
            <w:pPr>
              <w:spacing w:before="0" w:after="80"/>
            </w:pPr>
            <w:r>
              <w:rPr>
                <w:rFonts w:ascii="Calibri" w:hAnsi="Calibri"/>
                <w:b/>
                <w:color w:val="0F172A"/>
                <w:sz w:val="21"/>
              </w:rPr>
              <w:t>CRITICAL DIRECTIVE: OPERATIONAL INDEPENDENCE GUARANTEE</w:t>
              <w:br/>
            </w:r>
            <w:r>
              <w:rPr>
                <w:rFonts w:ascii="Calibri" w:hAnsi="Calibri"/>
                <w:color w:val="334155"/>
                <w:sz w:val="20"/>
              </w:rPr>
              <w:t>This manual documents every architectural pattern, design standard, deployment workflow, and verification protocol in this repository. All commands, audit tools, and publishing routines run 100% locally on standard Git and Python with zero external software subscriptions required.</w:t>
            </w:r>
          </w:p>
        </w:tc>
      </w:tr>
    </w:tbl>
    <w:p>
      <w:pPr>
        <w:spacing w:after="120"/>
      </w:pPr>
    </w:p>
    <w:p>
      <w:pPr>
        <w:pStyle w:val="Heading1"/>
      </w:pPr>
      <w:r>
        <w:t>Chapter 1: Repository Architecture &amp; Directory Structure</w:t>
      </w:r>
    </w:p>
    <w:p>
      <w:r>
        <w:t>The Kinslow Regulatory Archive is structured as a static, high-performance, edge-hosted regulatory vault. It does not require database servers, Node.js runtimes, or backend APIs. It runs directly via GitHub Pages and is mapped to custom edge domains.</w:t>
      </w:r>
    </w:p>
    <w:p>
      <w:r>
        <w:t>Repository Directory Layout:</w:t>
      </w:r>
    </w:p>
    <w:tbl>
      <w:tblPr>
        <w:tblW w:type="auto" w:w="0"/>
        <w:jc w:val="center"/>
        <w:tblLayout w:type="fixed"/>
        <w:tblLook w:firstColumn="1" w:firstRow="1" w:lastColumn="0" w:lastRow="0" w:noHBand="0" w:noVBand="1" w:val="04A0"/>
      </w:tblPr>
      <w:tblGrid>
        <w:gridCol w:w="9360"/>
      </w:tblGrid>
      <w:tr>
        <w:tc>
          <w:tcPr>
            <w:tcW w:type="dxa" w:w="9936"/>
            <w:shd w:fill="0F172A"/>
            <w:tcMar>
              <w:top w:w="120" w:type="dxa"/>
              <w:bottom w:w="120" w:type="dxa"/>
              <w:left w:w="180" w:type="dxa"/>
              <w:right w:w="180" w:type="dxa"/>
            </w:tcMar>
          </w:tcPr>
          <w:p>
            <w:pPr>
              <w:spacing w:before="0" w:after="0" w:line="276" w:lineRule="auto"/>
            </w:pPr>
            <w:r>
              <w:rPr>
                <w:rFonts w:ascii="Consolas" w:hAnsi="Consolas"/>
                <w:color w:val="38BDF8"/>
                <w:sz w:val="19"/>
              </w:rPr>
              <w:t>chaseknJD.github.io/</w:t>
              <w:br/>
              <w:t>├── index.html                 # Master homepage (0 inline styles, external index.css link)</w:t>
              <w:br/>
              <w:t>├── index.css                  # Unified design system (60-30-10 palette, mobile dock, AI modal)</w:t>
              <w:br/>
              <w:t>├── documentation.html         # Complete 2,599-page technical dossier &amp; PDF viewer</w:t>
              <w:br/>
              <w:t>├── press-release.html         # Formal wire release for CFPB &amp; DOJ filings</w:t>
              <w:br/>
              <w:t>├── site.webmanifest           # Progressive Web App configuration</w:t>
              <w:br/>
              <w:t>├── sitemap.xml                # Canonical XML search engine sitemap (106 URLs)</w:t>
              <w:br/>
              <w:t>├── sitemap.txt                # Plain text URL manifest</w:t>
              <w:br/>
              <w:t>├── llms.txt                   # LLM &amp; AI agent citation indexing file</w:t>
              <w:br/>
              <w:t>├── robots.txt                 # Crawler navigation &amp; sitemap pointers</w:t>
              <w:br/>
              <w:t>├── articles/                  # Independent forensic investigation reports</w:t>
              <w:br/>
              <w:t>│   └── feeding-the-ai-pr-machine-unfiltered-mobile-telemetry.html</w:t>
              <w:br/>
              <w:t>├── guides/                    # Actionable consumer defense &amp; statutory guides (6 core guides)</w:t>
              <w:br/>
              <w:t>├── topics/                    # Deep statutory &amp; forensic regulatory breakdowns (28 analysis files)</w:t>
              <w:br/>
              <w:t>├── tools/                     # Client-side dispute demand letter generators &amp; diagnostic apps</w:t>
              <w:br/>
              <w:t>├── documents/                 # PDF dossiers, Evidence ZIP bundles, and legal exhibits</w:t>
              <w:br/>
              <w:t>└── scratch/                   # Local verification &amp; automated crawler audit scripts</w:t>
            </w:r>
          </w:p>
        </w:tc>
      </w:tr>
    </w:tbl>
    <w:p>
      <w:pPr>
        <w:spacing w:after="120"/>
      </w:pPr>
    </w:p>
    <w:p>
      <w:r>
        <w:t>Key Architectural Rules to Maintain:</w:t>
      </w:r>
    </w:p>
    <w:p>
      <w:pPr>
        <w:pStyle w:val="ListBullet"/>
      </w:pPr>
      <w:r>
        <w:rPr>
          <w:b/>
        </w:rPr>
        <w:t xml:space="preserve">Zero Inline Styles in index.html: </w:t>
      </w:r>
      <w:r>
        <w:t>All layout properties, typography, cards, and modal components must live exclusively in index.css. Never reintroduce style="..." attributes or inline &lt;style&gt; tags into index.html.</w:t>
      </w:r>
    </w:p>
    <w:p>
      <w:pPr>
        <w:pStyle w:val="ListBullet"/>
      </w:pPr>
      <w:r>
        <w:rPr>
          <w:b/>
        </w:rPr>
        <w:t xml:space="preserve">Client-Side Privacy Standard: </w:t>
      </w:r>
      <w:r>
        <w:t>All dispute tools (e.g. tools/affirm-dispute-demand-generator.html) execute 100% in user browser memory. Never transmit consumer names, loan IDs, or dollar amounts to external servers.</w:t>
      </w:r>
    </w:p>
    <w:p>
      <w:pPr>
        <w:pStyle w:val="Heading1"/>
      </w:pPr>
      <w:r>
        <w:t>Chapter 2: Git Operations &amp; Zero-Interruption Publishing</w:t>
      </w:r>
    </w:p>
    <w:p>
      <w:r>
        <w:t>When updating files or publishing new evidence, use standard Windows PowerShell or Command Prompt. Follow this exact non-interactive protocol to prevent Windows Credential Manager / Atlassian GUI popup lockups.</w:t>
      </w:r>
    </w:p>
    <w:p>
      <w:r>
        <w:t>Step-by-Step Publishing Workflow:</w:t>
      </w:r>
    </w:p>
    <w:tbl>
      <w:tblPr>
        <w:tblW w:type="auto" w:w="0"/>
        <w:jc w:val="center"/>
        <w:tblLayout w:type="fixed"/>
        <w:tblLook w:firstColumn="1" w:firstRow="1" w:lastColumn="0" w:lastRow="0" w:noHBand="0" w:noVBand="1" w:val="04A0"/>
      </w:tblPr>
      <w:tblGrid>
        <w:gridCol w:w="9360"/>
      </w:tblGrid>
      <w:tr>
        <w:tc>
          <w:tcPr>
            <w:tcW w:type="dxa" w:w="9936"/>
            <w:shd w:fill="0F172A"/>
            <w:tcMar>
              <w:top w:w="120" w:type="dxa"/>
              <w:bottom w:w="120" w:type="dxa"/>
              <w:left w:w="180" w:type="dxa"/>
              <w:right w:w="180" w:type="dxa"/>
            </w:tcMar>
          </w:tcPr>
          <w:p>
            <w:pPr>
              <w:spacing w:before="0" w:after="0" w:line="276" w:lineRule="auto"/>
            </w:pPr>
            <w:r>
              <w:rPr>
                <w:rFonts w:ascii="Consolas" w:hAnsi="Consolas"/>
                <w:color w:val="38BDF8"/>
                <w:sz w:val="19"/>
              </w:rPr>
              <w:t># Step 1: Open PowerShell in the repository directory</w:t>
              <w:br/>
              <w:t>cd "C:\Users\Charwiz43\Documents\Chase - Personal\Documents\GitHub\chaseknJD.github.io"</w:t>
              <w:br/>
              <w:br/>
              <w:t># Step 2: Check current status</w:t>
              <w:br/>
              <w:t>git status</w:t>
              <w:br/>
              <w:br/>
              <w:t># Step 3: Stage all modified and new files</w:t>
              <w:br/>
              <w:t>git add -A</w:t>
              <w:br/>
              <w:br/>
              <w:t># Step 4: Commit changes with a descriptive message</w:t>
              <w:br/>
              <w:t>git commit -m "feat: your concise description of the changes"</w:t>
              <w:br/>
              <w:br/>
              <w:t># Step 5: Push directly to origin main without GUI popups</w:t>
              <w:br/>
              <w:t>$env:GIT_TERMINAL_PROMPT="0"</w:t>
              <w:br/>
              <w:t>git push origin main</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936"/>
            <w:shd w:fill="F1F5F9"/>
            <w:tcMar>
              <w:top w:w="140" w:type="dxa"/>
              <w:bottom w:w="140" w:type="dxa"/>
              <w:left w:w="180" w:type="dxa"/>
              <w:right w:w="180" w:type="dxa"/>
            </w:tcMar>
          </w:tcPr>
          <w:p>
            <w:pPr>
              <w:spacing w:before="0" w:after="80"/>
            </w:pPr>
            <w:r>
              <w:rPr>
                <w:rFonts w:ascii="Calibri" w:hAnsi="Calibri"/>
                <w:b/>
                <w:color w:val="0F172A"/>
                <w:sz w:val="21"/>
              </w:rPr>
              <w:t>CRITICAL DIRECTIVE: GITHUB PAGES BUILD LATENCY</w:t>
              <w:br/>
            </w:r>
            <w:r>
              <w:rPr>
                <w:rFonts w:ascii="Calibri" w:hAnsi="Calibri"/>
                <w:color w:val="334155"/>
                <w:sz w:val="20"/>
              </w:rPr>
              <w:t>Once git push origin main succeeds, GitHub Pages automatically builds and deploys your site globally in 15 to 35 seconds. You do not need to build bundles or compile assets.</w:t>
            </w:r>
          </w:p>
        </w:tc>
      </w:tr>
    </w:tbl>
    <w:p>
      <w:pPr>
        <w:spacing w:after="120"/>
      </w:pPr>
    </w:p>
    <w:p>
      <w:pPr>
        <w:pStyle w:val="Heading1"/>
      </w:pPr>
      <w:r>
        <w:t>Chapter 3: Adding a New Article or Guide (Step-by-Step Template)</w:t>
      </w:r>
    </w:p>
    <w:p>
      <w:r>
        <w:t>Whenever you publish a new analysis or article (e.g., from LinkedIn Pulse or legal dockets), follow these 5 steps to ensure full cross-linking and SEO parity:</w:t>
      </w:r>
    </w:p>
    <w:p>
      <w:r>
        <w:t>Step 1: Create the HTML File in articles/, guides/, or topics/</w:t>
      </w:r>
    </w:p>
    <w:p>
      <w:r>
        <w:t>Every page must include standard Open Graph meta tags, canonical link, and the standardized Schema.org JSON-LD header:</w:t>
      </w:r>
    </w:p>
    <w:tbl>
      <w:tblPr>
        <w:tblW w:type="auto" w:w="0"/>
        <w:jc w:val="center"/>
        <w:tblLayout w:type="fixed"/>
        <w:tblLook w:firstColumn="1" w:firstRow="1" w:lastColumn="0" w:lastRow="0" w:noHBand="0" w:noVBand="1" w:val="04A0"/>
      </w:tblPr>
      <w:tblGrid>
        <w:gridCol w:w="9360"/>
      </w:tblGrid>
      <w:tr>
        <w:tc>
          <w:tcPr>
            <w:tcW w:type="dxa" w:w="9936"/>
            <w:shd w:fill="0F172A"/>
            <w:tcMar>
              <w:top w:w="120" w:type="dxa"/>
              <w:bottom w:w="120" w:type="dxa"/>
              <w:left w:w="180" w:type="dxa"/>
              <w:right w:w="180" w:type="dxa"/>
            </w:tcMar>
          </w:tcPr>
          <w:p>
            <w:pPr>
              <w:spacing w:before="0" w:after="0" w:line="276" w:lineRule="auto"/>
            </w:pPr>
            <w:r>
              <w:rPr>
                <w:rFonts w:ascii="Consolas" w:hAnsi="Consolas"/>
                <w:color w:val="38BDF8"/>
                <w:sz w:val="19"/>
              </w:rPr>
              <w:t>&lt;head&gt;</w:t>
              <w:br/>
              <w:t xml:space="preserve">  &lt;meta charset="UTF-8"&gt;</w:t>
              <w:br/>
              <w:t xml:space="preserve">  &lt;meta name="viewport" content="width=device-width, initial-scale=1.0"&gt;</w:t>
              <w:br/>
              <w:t xml:space="preserve">  &lt;title&gt;Article Title | Charles W. Kinslow IV&lt;/title&gt;</w:t>
              <w:br/>
              <w:t xml:space="preserve">  &lt;meta name="description" content="Concise summary for search engines."&gt;</w:t>
              <w:br/>
              <w:t xml:space="preserve">  &lt;link rel="canonical" href="https://kinslow-regulatory-archive.org/articles/your-file-name.html"&gt;</w:t>
              <w:br/>
              <w:t xml:space="preserve">  &lt;link rel="stylesheet" href="../index.css?v=20260908"&gt;</w:t>
              <w:br/>
              <w:t xml:space="preserve">  </w:t>
              <w:br/>
              <w:t xml:space="preserve">  &lt;!-- Structured Data JSON-LD --&gt;</w:t>
              <w:br/>
              <w:t xml:space="preserve">  &lt;script type="application/ld+json"&gt;</w:t>
              <w:br/>
              <w:t xml:space="preserve">  {</w:t>
              <w:br/>
              <w:t xml:space="preserve">    "@context": "https://schema.org",</w:t>
              <w:br/>
              <w:t xml:space="preserve">    "@type": "Article",</w:t>
              <w:br/>
              <w:t xml:space="preserve">    "headline": "Your Article Title",</w:t>
              <w:br/>
              <w:t xml:space="preserve">    "description": "Your concise summary.",</w:t>
              <w:br/>
              <w:t xml:space="preserve">    "url": "https://kinslow-regulatory-archive.org/articles/your-file-name.html",</w:t>
              <w:br/>
              <w:t xml:space="preserve">    "isBasedOn": [</w:t>
              <w:br/>
              <w:t xml:space="preserve">      "https://doi.org/10.5281/zenodo.21937896",</w:t>
              <w:br/>
              <w:t xml:space="preserve">      "https://www.linkedin.com/pulse/your-pulse-article-link/"</w:t>
              <w:br/>
              <w:t xml:space="preserve">    ],</w:t>
              <w:br/>
              <w:t xml:space="preserve">    "citation": [</w:t>
              <w:br/>
              <w:t xml:space="preserve">      "CFPB Consumer Response Complaint Docket #260717-35668593 (12 C.F.R. § 1026.13)",</w:t>
              <w:br/>
              <w:t xml:space="preserve">      "SEC Office of the Whistleblower Form TCR Submission #17867-223-108-883",</w:t>
              <w:br/>
              <w:t xml:space="preserve">      "California Department of Justice Public Inquiry Unit Docket #26-1884",</w:t>
              <w:br/>
              <w:t xml:space="preserve">      "https://doi.org/10.5281/zenodo.21937896"</w:t>
              <w:br/>
              <w:t xml:space="preserve">    ],</w:t>
              <w:br/>
              <w:t xml:space="preserve">    "identifier": [</w:t>
              <w:br/>
              <w:t xml:space="preserve">      { "@type": "PropertyValue", "propertyID": "CFPB Complaint Tracking Number", "value": "260717-35668593" },</w:t>
              <w:br/>
              <w:t xml:space="preserve">      { "@type": "PropertyValue", "propertyID": "SEC Form TCR Submission Number", "value": "17867-223-108-883" },</w:t>
              <w:br/>
              <w:t xml:space="preserve">      { "@type": "PropertyValue", "propertyID": "Zenodo Open Access Archive DOI", "value": "10.5281/zenodo.21937896" }</w:t>
              <w:br/>
              <w:t xml:space="preserve">    ],</w:t>
              <w:br/>
              <w:t xml:space="preserve">    "author": {</w:t>
              <w:br/>
              <w:t xml:space="preserve">      "@type": "Person",</w:t>
              <w:br/>
              <w:t xml:space="preserve">      "name": "Charles W. Kinslow IV, J.D., C.P.A.",</w:t>
              <w:br/>
              <w:t xml:space="preserve">      "jobTitle": "Licensed CPA &amp; Juris Doctor",</w:t>
              <w:br/>
              <w:t xml:space="preserve">      "sameAs": ["https://www.linkedin.com/in/chasekn/", "https://kinslow-regulatory-archive.org/"]</w:t>
              <w:br/>
              <w:t xml:space="preserve">    }</w:t>
              <w:br/>
              <w:t xml:space="preserve">  }</w:t>
              <w:br/>
              <w:t xml:space="preserve">  &lt;/script&gt;</w:t>
              <w:br/>
              <w:t>&lt;/head&gt;</w:t>
            </w:r>
          </w:p>
        </w:tc>
      </w:tr>
    </w:tbl>
    <w:p>
      <w:pPr>
        <w:spacing w:after="120"/>
      </w:pPr>
    </w:p>
    <w:p>
      <w:r>
        <w:t>Step 2: Cross-Link into index.html, documentation.html, and Related Topics</w:t>
      </w:r>
    </w:p>
    <w:p>
      <w:r>
        <w:t>Add an entry or featured card in index.html (inside the .topics-grid section) and in documentation.html (inside the .cards-grid section).</w:t>
      </w:r>
    </w:p>
    <w:p>
      <w:r>
        <w:t>Step 3: Register in sitemap.xml &amp; sitemap.txt</w:t>
      </w:r>
    </w:p>
    <w:p>
      <w:r>
        <w:t>Add your new URL to sitemap.xml with the current date:</w:t>
      </w:r>
    </w:p>
    <w:tbl>
      <w:tblPr>
        <w:tblW w:type="auto" w:w="0"/>
        <w:jc w:val="center"/>
        <w:tblLayout w:type="fixed"/>
        <w:tblLook w:firstColumn="1" w:firstRow="1" w:lastColumn="0" w:lastRow="0" w:noHBand="0" w:noVBand="1" w:val="04A0"/>
      </w:tblPr>
      <w:tblGrid>
        <w:gridCol w:w="9360"/>
      </w:tblGrid>
      <w:tr>
        <w:tc>
          <w:tcPr>
            <w:tcW w:type="dxa" w:w="9936"/>
            <w:shd w:fill="0F172A"/>
            <w:tcMar>
              <w:top w:w="120" w:type="dxa"/>
              <w:bottom w:w="120" w:type="dxa"/>
              <w:left w:w="180" w:type="dxa"/>
              <w:right w:w="180" w:type="dxa"/>
            </w:tcMar>
          </w:tcPr>
          <w:p>
            <w:pPr>
              <w:spacing w:before="0" w:after="0" w:line="276" w:lineRule="auto"/>
            </w:pPr>
            <w:r>
              <w:rPr>
                <w:rFonts w:ascii="Consolas" w:hAnsi="Consolas"/>
                <w:color w:val="38BDF8"/>
                <w:sz w:val="19"/>
              </w:rPr>
              <w:t>&lt;url&gt;</w:t>
              <w:br/>
              <w:t xml:space="preserve">    &lt;loc&gt;https://chasekn43.github.io/regulatory-archive-2026/articles/your-file-name.html&lt;/loc&gt;</w:t>
              <w:br/>
              <w:t xml:space="preserve">    &lt;lastmod&gt;2026-09-09&lt;/lastmod&gt;</w:t>
              <w:br/>
              <w:t xml:space="preserve">    &lt;changefreq&gt;monthly&lt;/changefreq&gt;</w:t>
              <w:br/>
              <w:t xml:space="preserve">    &lt;priority&gt;0.85&lt;/priority&gt;</w:t>
              <w:br/>
              <w:t xml:space="preserve">  &lt;/url&gt;</w:t>
            </w:r>
          </w:p>
        </w:tc>
      </w:tr>
    </w:tbl>
    <w:p>
      <w:pPr>
        <w:spacing w:after="120"/>
      </w:pPr>
    </w:p>
    <w:p>
      <w:r>
        <w:t>Step 4: Add to llms.txt</w:t>
      </w:r>
    </w:p>
    <w:p>
      <w:r>
        <w:t>Append a one-line summary to llms.txt so AI search models (Claude, ChatGPT, Perplexity) ingest your new content:</w:t>
      </w:r>
    </w:p>
    <w:tbl>
      <w:tblPr>
        <w:tblW w:type="auto" w:w="0"/>
        <w:jc w:val="center"/>
        <w:tblLayout w:type="fixed"/>
        <w:tblLook w:firstColumn="1" w:firstRow="1" w:lastColumn="0" w:lastRow="0" w:noHBand="0" w:noVBand="1" w:val="04A0"/>
      </w:tblPr>
      <w:tblGrid>
        <w:gridCol w:w="9360"/>
      </w:tblGrid>
      <w:tr>
        <w:tc>
          <w:tcPr>
            <w:tcW w:type="dxa" w:w="9936"/>
            <w:shd w:fill="0F172A"/>
            <w:tcMar>
              <w:top w:w="120" w:type="dxa"/>
              <w:bottom w:w="120" w:type="dxa"/>
              <w:left w:w="180" w:type="dxa"/>
              <w:right w:w="180" w:type="dxa"/>
            </w:tcMar>
          </w:tcPr>
          <w:p>
            <w:pPr>
              <w:spacing w:before="0" w:after="0" w:line="276" w:lineRule="auto"/>
            </w:pPr>
            <w:r>
              <w:rPr>
                <w:rFonts w:ascii="Consolas" w:hAnsi="Consolas"/>
                <w:color w:val="38BDF8"/>
                <w:sz w:val="19"/>
              </w:rPr>
              <w:t>- [Your Title](https://kinslow-regulatory-archive.org/articles/your-file-name.html): One-sentence technical summary of the investigation.</w:t>
            </w:r>
          </w:p>
        </w:tc>
      </w:tr>
    </w:tbl>
    <w:p>
      <w:pPr>
        <w:spacing w:after="120"/>
      </w:pPr>
    </w:p>
    <w:p>
      <w:pPr>
        <w:pStyle w:val="Heading1"/>
      </w:pPr>
      <w:r>
        <w:t>Chapter 4: Instant Search Engine Indexing (IndexNow for Bing)</w:t>
      </w:r>
    </w:p>
    <w:p>
      <w:r>
        <w:t>Instead of waiting weeks for Bingbot to crawl your site, use your local IndexNow integration to trigger indexing within minutes.</w:t>
      </w:r>
    </w:p>
    <w:p>
      <w:r>
        <w:t>Command to trigger IndexNow:</w:t>
      </w:r>
    </w:p>
    <w:tbl>
      <w:tblPr>
        <w:tblW w:type="auto" w:w="0"/>
        <w:jc w:val="center"/>
        <w:tblLayout w:type="fixed"/>
        <w:tblLook w:firstColumn="1" w:firstRow="1" w:lastColumn="0" w:lastRow="0" w:noHBand="0" w:noVBand="1" w:val="04A0"/>
      </w:tblPr>
      <w:tblGrid>
        <w:gridCol w:w="9360"/>
      </w:tblGrid>
      <w:tr>
        <w:tc>
          <w:tcPr>
            <w:tcW w:type="dxa" w:w="9936"/>
            <w:shd w:fill="0F172A"/>
            <w:tcMar>
              <w:top w:w="120" w:type="dxa"/>
              <w:bottom w:w="120" w:type="dxa"/>
              <w:left w:w="180" w:type="dxa"/>
              <w:right w:w="180" w:type="dxa"/>
            </w:tcMar>
          </w:tcPr>
          <w:p>
            <w:pPr>
              <w:spacing w:before="0" w:after="0" w:line="276" w:lineRule="auto"/>
            </w:pPr>
            <w:r>
              <w:rPr>
                <w:rFonts w:ascii="Consolas" w:hAnsi="Consolas"/>
                <w:color w:val="38BDF8"/>
                <w:sz w:val="19"/>
              </w:rPr>
              <w:t>python "bRIGHT lIGHT\indexnow-main\scripts\indexnow-submit.py" --auto-detect</w:t>
            </w:r>
          </w:p>
        </w:tc>
      </w:tr>
    </w:tbl>
    <w:p>
      <w:pPr>
        <w:spacing w:after="120"/>
      </w:pPr>
    </w:p>
    <w:p>
      <w:r>
        <w:t>This script automatically detects recently changed URLs in your git repository, bundles them into an IndexNow payload, signs the request with your verification key, and transmits it to Bing and Yandex APIs.</w:t>
      </w:r>
    </w:p>
    <w:p>
      <w:pPr>
        <w:pStyle w:val="Heading1"/>
      </w:pPr>
      <w:r>
        <w:t>Chapter 5: Free Verification Scripts (3-Tier Live Telemetry Audit)</w:t>
      </w:r>
    </w:p>
    <w:p>
      <w:r>
        <w:t>You do not need an AI agent to verify your website. The exact Python auditing scripts built during development are saved in your scratch/ directory and can be executed at any time.</w:t>
      </w:r>
    </w:p>
    <w:p>
      <w:r>
        <w:t>1. Full Sitemap Live Health Probe (Audits all 106 URLs):</w:t>
      </w:r>
    </w:p>
    <w:tbl>
      <w:tblPr>
        <w:tblW w:type="auto" w:w="0"/>
        <w:jc w:val="center"/>
        <w:tblLayout w:type="fixed"/>
        <w:tblLook w:firstColumn="1" w:firstRow="1" w:lastColumn="0" w:lastRow="0" w:noHBand="0" w:noVBand="1" w:val="04A0"/>
      </w:tblPr>
      <w:tblGrid>
        <w:gridCol w:w="9360"/>
      </w:tblGrid>
      <w:tr>
        <w:tc>
          <w:tcPr>
            <w:tcW w:type="dxa" w:w="9936"/>
            <w:shd w:fill="0F172A"/>
            <w:tcMar>
              <w:top w:w="120" w:type="dxa"/>
              <w:bottom w:w="120" w:type="dxa"/>
              <w:left w:w="180" w:type="dxa"/>
              <w:right w:w="180" w:type="dxa"/>
            </w:tcMar>
          </w:tcPr>
          <w:p>
            <w:pPr>
              <w:spacing w:before="0" w:after="0" w:line="276" w:lineRule="auto"/>
            </w:pPr>
            <w:r>
              <w:rPr>
                <w:rFonts w:ascii="Consolas" w:hAnsi="Consolas"/>
                <w:color w:val="38BDF8"/>
                <w:sz w:val="19"/>
              </w:rPr>
              <w:t>python scratch/audit_full_sitemap.py</w:t>
            </w:r>
          </w:p>
        </w:tc>
      </w:tr>
    </w:tbl>
    <w:p>
      <w:pPr>
        <w:spacing w:after="120"/>
      </w:pPr>
    </w:p>
    <w:p>
      <w:r>
        <w:t>This script probes all 106 URLs in sitemap.xml concurrently across 12 threads and reports status codes, latencies, and any dead links.</w:t>
      </w:r>
    </w:p>
    <w:p>
      <w:r>
        <w:t>2. Comprehensive 3-Tier Deployment Audit (Audits 144 Endpoints):</w:t>
      </w:r>
    </w:p>
    <w:tbl>
      <w:tblPr>
        <w:tblW w:type="auto" w:w="0"/>
        <w:jc w:val="center"/>
        <w:tblLayout w:type="fixed"/>
        <w:tblLook w:firstColumn="1" w:firstRow="1" w:lastColumn="0" w:lastRow="0" w:noHBand="0" w:noVBand="1" w:val="04A0"/>
      </w:tblPr>
      <w:tblGrid>
        <w:gridCol w:w="9360"/>
      </w:tblGrid>
      <w:tr>
        <w:tc>
          <w:tcPr>
            <w:tcW w:type="dxa" w:w="9936"/>
            <w:shd w:fill="0F172A"/>
            <w:tcMar>
              <w:top w:w="120" w:type="dxa"/>
              <w:bottom w:w="120" w:type="dxa"/>
              <w:left w:w="180" w:type="dxa"/>
              <w:right w:w="180" w:type="dxa"/>
            </w:tcMar>
          </w:tcPr>
          <w:p>
            <w:pPr>
              <w:spacing w:before="0" w:after="0" w:line="276" w:lineRule="auto"/>
            </w:pPr>
            <w:r>
              <w:rPr>
                <w:rFonts w:ascii="Consolas" w:hAnsi="Consolas"/>
                <w:color w:val="38BDF8"/>
                <w:sz w:val="19"/>
              </w:rPr>
              <w:t>python scratch/run_comprehensive_3tier.py</w:t>
            </w:r>
          </w:p>
        </w:tc>
      </w:tr>
    </w:tbl>
    <w:p>
      <w:pPr>
        <w:spacing w:after="120"/>
      </w:pPr>
    </w:p>
    <w:p>
      <w:r>
        <w:t>This script verifies all 48 content files across Tier 1 (GitHub Pages), Tier 2 (Custom Domain), and Tier 3 (Direct GitHub Raw) to prove 100% byte-for-byte synchronization.</w:t>
      </w:r>
    </w:p>
    <w:p>
      <w:r>
        <w:t>3. Schema.org JSON-LD &amp; Regulatory Docket Audit:</w:t>
      </w:r>
    </w:p>
    <w:tbl>
      <w:tblPr>
        <w:tblW w:type="auto" w:w="0"/>
        <w:jc w:val="center"/>
        <w:tblLayout w:type="fixed"/>
        <w:tblLook w:firstColumn="1" w:firstRow="1" w:lastColumn="0" w:lastRow="0" w:noHBand="0" w:noVBand="1" w:val="04A0"/>
      </w:tblPr>
      <w:tblGrid>
        <w:gridCol w:w="9360"/>
      </w:tblGrid>
      <w:tr>
        <w:tc>
          <w:tcPr>
            <w:tcW w:type="dxa" w:w="9936"/>
            <w:shd w:fill="0F172A"/>
            <w:tcMar>
              <w:top w:w="120" w:type="dxa"/>
              <w:bottom w:w="120" w:type="dxa"/>
              <w:left w:w="180" w:type="dxa"/>
              <w:right w:w="180" w:type="dxa"/>
            </w:tcMar>
          </w:tcPr>
          <w:p>
            <w:pPr>
              <w:spacing w:before="0" w:after="0" w:line="276" w:lineRule="auto"/>
            </w:pPr>
            <w:r>
              <w:rPr>
                <w:rFonts w:ascii="Consolas" w:hAnsi="Consolas"/>
                <w:color w:val="38BDF8"/>
                <w:sz w:val="19"/>
              </w:rPr>
              <w:t>python scratch/validate_jsonld.py</w:t>
            </w:r>
          </w:p>
        </w:tc>
      </w:tr>
    </w:tbl>
    <w:p>
      <w:pPr>
        <w:spacing w:after="120"/>
      </w:pPr>
    </w:p>
    <w:p>
      <w:r>
        <w:t>This script validates syntax on all 46 content pages and confirms that CFPB docket numbers, SEC TCR submission numbers, and Zenodo DOIs are correctly configured.</w:t>
      </w:r>
    </w:p>
    <w:p>
      <w:pPr>
        <w:pStyle w:val="Heading1"/>
      </w:pPr>
      <w:r>
        <w:t>Chapter 6: Emergency Troubleshooting Playbook</w:t>
      </w:r>
    </w:p>
    <w:p>
      <w:r>
        <w:t>Common Scenarios &amp; Solutions:</w:t>
      </w:r>
    </w:p>
    <w:tbl>
      <w:tblPr>
        <w:tblW w:type="auto" w:w="0"/>
        <w:jc w:val="center"/>
        <w:tblLayout w:type="fixed"/>
        <w:tblLook w:firstColumn="1" w:firstRow="1" w:lastColumn="0" w:lastRow="0" w:noHBand="0" w:noVBand="1" w:val="04A0"/>
      </w:tblPr>
      <w:tblGrid>
        <w:gridCol w:w="3312"/>
        <w:gridCol w:w="3312"/>
        <w:gridCol w:w="3312"/>
      </w:tblGrid>
      <w:tr>
        <w:tc>
          <w:tcPr>
            <w:tcW w:type="dxa" w:w="3312"/>
            <w:shd w:fill="0F172A"/>
          </w:tcPr>
          <w:p>
            <w:r>
              <w:rPr>
                <w:b/>
                <w:color w:val="FFFFFF"/>
              </w:rPr>
              <w:t>Symptom / Issue</w:t>
            </w:r>
          </w:p>
        </w:tc>
        <w:tc>
          <w:tcPr>
            <w:tcW w:type="dxa" w:w="3312"/>
            <w:shd w:fill="0F172A"/>
          </w:tcPr>
          <w:p>
            <w:r>
              <w:rPr>
                <w:b/>
                <w:color w:val="FFFFFF"/>
              </w:rPr>
              <w:t>Root Cause</w:t>
            </w:r>
          </w:p>
        </w:tc>
        <w:tc>
          <w:tcPr>
            <w:tcW w:type="dxa" w:w="3312"/>
            <w:shd w:fill="0F172A"/>
          </w:tcPr>
          <w:p>
            <w:r>
              <w:rPr>
                <w:b/>
                <w:color w:val="FFFFFF"/>
              </w:rPr>
              <w:t>Exact Resolution Command</w:t>
            </w:r>
          </w:p>
        </w:tc>
      </w:tr>
      <w:tr>
        <w:tc>
          <w:tcPr>
            <w:tcW w:type="dxa" w:w="3312"/>
          </w:tcPr>
          <w:p>
            <w:r>
              <w:rPr>
                <w:sz w:val="19"/>
              </w:rPr>
              <w:t>Git push rejected (403)</w:t>
            </w:r>
          </w:p>
        </w:tc>
        <w:tc>
          <w:tcPr>
            <w:tcW w:type="dxa" w:w="3312"/>
          </w:tcPr>
          <w:p>
            <w:r>
              <w:rPr>
                <w:sz w:val="19"/>
              </w:rPr>
              <w:t>Secondary remote authentication mismatch</w:t>
            </w:r>
          </w:p>
        </w:tc>
        <w:tc>
          <w:tcPr>
            <w:tcW w:type="dxa" w:w="3312"/>
          </w:tcPr>
          <w:p>
            <w:r>
              <w:rPr>
                <w:sz w:val="19"/>
              </w:rPr>
              <w:t>Ensure you push to origin only:</w:t>
              <w:br/>
              <w:t>git push origin main</w:t>
            </w:r>
          </w:p>
        </w:tc>
      </w:tr>
      <w:tr>
        <w:tc>
          <w:tcPr>
            <w:tcW w:type="dxa" w:w="3312"/>
            <w:shd w:fill="F8FAFC"/>
          </w:tcPr>
          <w:p>
            <w:r>
              <w:rPr>
                <w:sz w:val="19"/>
              </w:rPr>
              <w:t>Live changes not showing up</w:t>
            </w:r>
          </w:p>
        </w:tc>
        <w:tc>
          <w:tcPr>
            <w:tcW w:type="dxa" w:w="3312"/>
            <w:shd w:fill="F8FAFC"/>
          </w:tcPr>
          <w:p>
            <w:r>
              <w:rPr>
                <w:sz w:val="19"/>
              </w:rPr>
              <w:t>GitHub Pages build latency or CDN cache</w:t>
            </w:r>
          </w:p>
        </w:tc>
        <w:tc>
          <w:tcPr>
            <w:tcW w:type="dxa" w:w="3312"/>
            <w:shd w:fill="F8FAFC"/>
          </w:tcPr>
          <w:p>
            <w:r>
              <w:rPr>
                <w:sz w:val="19"/>
              </w:rPr>
              <w:t>Wait 30s, then test live using:</w:t>
              <w:br/>
              <w:t>python scratch/run_comprehensive_3tier.py</w:t>
            </w:r>
          </w:p>
        </w:tc>
      </w:tr>
      <w:tr>
        <w:tc>
          <w:tcPr>
            <w:tcW w:type="dxa" w:w="3312"/>
          </w:tcPr>
          <w:p>
            <w:r>
              <w:rPr>
                <w:sz w:val="19"/>
              </w:rPr>
              <w:t>Broken internal link</w:t>
            </w:r>
          </w:p>
        </w:tc>
        <w:tc>
          <w:tcPr>
            <w:tcW w:type="dxa" w:w="3312"/>
          </w:tcPr>
          <w:p>
            <w:r>
              <w:rPr>
                <w:sz w:val="19"/>
              </w:rPr>
              <w:t>Relative path typo (e.g. ../topics vs topics)</w:t>
            </w:r>
          </w:p>
        </w:tc>
        <w:tc>
          <w:tcPr>
            <w:tcW w:type="dxa" w:w="3312"/>
          </w:tcPr>
          <w:p>
            <w:r>
              <w:rPr>
                <w:sz w:val="19"/>
              </w:rPr>
              <w:t>Run: python scratch/step2_link_audit.py</w:t>
              <w:br/>
              <w:t>to pinpoint the exact broken file and line</w:t>
            </w:r>
          </w:p>
        </w:tc>
      </w:tr>
    </w:tbl>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17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