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IDBac</w:t>
      </w:r>
      <w:r>
        <w:t xml:space="preserve"> </w:t>
      </w:r>
      <w:r>
        <w:t xml:space="preserve">Database</w:t>
      </w:r>
      <w:r>
        <w:t xml:space="preserve"> </w:t>
      </w:r>
      <w:r>
        <w:t xml:space="preserve">Protocol</w:t>
      </w:r>
    </w:p>
    <w:p>
      <w:pPr>
        <w:pStyle w:val="Author"/>
      </w:pPr>
      <w:r>
        <w:t xml:space="preserve">Chase</w:t>
      </w:r>
      <w:r>
        <w:t xml:space="preserve"> </w:t>
      </w:r>
      <w:r>
        <w:t xml:space="preserve">Clark</w:t>
      </w:r>
    </w:p>
    <w:p>
      <w:pPr>
        <w:pStyle w:val="Date"/>
      </w:pPr>
      <w:r>
        <w:t xml:space="preserve">September</w:t>
      </w:r>
      <w:r>
        <w:t xml:space="preserve"> </w:t>
      </w:r>
      <w:r>
        <w:t xml:space="preserve">30,</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xcel"/>
      <w:r>
        <w:t xml:space="preserve">Excel</w:t>
      </w:r>
      <w:bookmarkEnd w:id="20"/>
    </w:p>
    <w:p>
      <w:pPr>
        <w:pStyle w:val="Heading2"/>
      </w:pPr>
      <w:bookmarkStart w:id="21" w:name="document-sample-positions-on-maldi-plate"/>
      <w:r>
        <w:t xml:space="preserve">Document sample positions on MALDI plate</w:t>
      </w:r>
      <w:bookmarkEnd w:id="21"/>
    </w:p>
    <w:p>
      <w:pPr>
        <w:pStyle w:val="FirstParagraph"/>
      </w:pPr>
      <w:r>
        <w:t xml:space="preserve">If you haven’t already, download the Excel template for renaming raw data files</w:t>
      </w:r>
      <w:r>
        <w:t xml:space="preserve"> </w:t>
      </w:r>
      <w:hyperlink r:id="rId22">
        <w:r>
          <w:rPr>
            <w:rStyle w:val="Hyperlink"/>
          </w:rPr>
          <w:t xml:space="preserve">here.</w:t>
        </w:r>
      </w:hyperlink>
    </w:p>
    <w:p>
      <w:pPr>
        <w:pStyle w:val="Compact"/>
        <w:numPr>
          <w:numId w:val="1001"/>
          <w:ilvl w:val="0"/>
        </w:numPr>
      </w:pPr>
      <w:r>
        <w:t xml:space="preserve">Using the Excel®/OpenOffice™ template mentioned above, simply enter your sample names into the spreadsheet as seen below.</w:t>
      </w:r>
    </w:p>
    <w:p>
      <w:pPr>
        <w:pStyle w:val="Compact"/>
        <w:numPr>
          <w:numId w:val="1001"/>
          <w:ilvl w:val="0"/>
        </w:numPr>
      </w:pPr>
      <w:r>
        <w:t xml:space="preserve">Also, in the appropriate space in the excel sheet, enter the product and lot/batch number of MALDI matrix.</w:t>
      </w:r>
    </w:p>
    <w:p>
      <w:pPr>
        <w:pStyle w:val="Compact"/>
      </w:pPr>
    </w:p>
    <w:p>
      <w:pPr>
        <w:pStyle w:val="BodyText"/>
      </w:pPr>
      <w:r>
        <w:t xml:space="preserve">If you don’t have access to Microsoft Excel, you can use any other spreadsheet software such as: Apache OpenOffice™</w:t>
      </w:r>
      <w:r>
        <w:t xml:space="preserve"> </w:t>
      </w:r>
      <w:r>
        <w:t xml:space="preserve">“</w:t>
      </w:r>
      <w:r>
        <w:t xml:space="preserve">Calc</w:t>
      </w:r>
      <w:r>
        <w:t xml:space="preserve">”</w:t>
      </w:r>
      <w:r>
        <w:t xml:space="preserve">, which can be found at</w:t>
      </w:r>
      <w:r>
        <w:t xml:space="preserve"> </w:t>
      </w:r>
      <w:hyperlink r:id="rId23">
        <w:r>
          <w:rPr>
            <w:rStyle w:val="Hyperlink"/>
          </w:rPr>
          <w:t xml:space="preserve">www.openoffice.org</w:t>
        </w:r>
      </w:hyperlink>
      <w:r>
        <w:t xml:space="preserve">. When saving the file, ensure you save it as type</w:t>
      </w:r>
      <w:r>
        <w:t xml:space="preserve"> </w:t>
      </w:r>
      <w:r>
        <w:t xml:space="preserve">“</w:t>
      </w:r>
      <w:r>
        <w:t xml:space="preserve">Microsoft Excel 97/2000/XP (.xls or .xlsx)</w:t>
      </w:r>
      <w:r>
        <w:t xml:space="preserve">”</w:t>
      </w:r>
      <w:r>
        <w:t xml:space="preserve">.</w:t>
      </w:r>
    </w:p>
    <w:p>
      <w:pPr>
        <w:pStyle w:val="Heading2"/>
      </w:pPr>
      <w:bookmarkStart w:id="24" w:name="naming-the-excel-file"/>
      <w:r>
        <w:t xml:space="preserve">Naming the excel file</w:t>
      </w:r>
      <w:bookmarkEnd w:id="24"/>
    </w:p>
    <w:p>
      <w:pPr>
        <w:pStyle w:val="Compact"/>
        <w:numPr>
          <w:numId w:val="1002"/>
          <w:ilvl w:val="0"/>
        </w:numPr>
      </w:pPr>
      <w:r>
        <w:t xml:space="preserve">The excel file will be named as the date the plate was started and the last five-digits of the MALDI target plate serial number:</w:t>
      </w:r>
    </w:p>
    <w:p>
      <w:pPr>
        <w:pStyle w:val="Compact"/>
        <w:numPr>
          <w:numId w:val="1003"/>
          <w:ilvl w:val="1"/>
        </w:numPr>
      </w:pPr>
      <w:r>
        <w:rPr>
          <w:i/>
        </w:rPr>
        <w:t xml:space="preserve">dd_mm_yyyy_sssss</w:t>
      </w:r>
    </w:p>
    <w:p>
      <w:pPr>
        <w:pStyle w:val="Compact"/>
        <w:numPr>
          <w:numId w:val="1003"/>
          <w:ilvl w:val="1"/>
        </w:numPr>
      </w:pPr>
      <w:r>
        <w:t xml:space="preserve">Use format above, which stands for: (day_month_year_LastFiveOfSerialNumber)</w:t>
      </w:r>
    </w:p>
    <w:p>
      <w:pPr>
        <w:pStyle w:val="Heading1"/>
      </w:pPr>
      <w:bookmarkStart w:id="25" w:name="metcalf-lab"/>
      <w:r>
        <w:t xml:space="preserve">Metcalf Lab</w:t>
      </w:r>
      <w:bookmarkEnd w:id="25"/>
    </w:p>
    <w:p>
      <w:pPr>
        <w:pStyle w:val="Heading2"/>
      </w:pPr>
      <w:bookmarkStart w:id="26" w:name="cleaning-the-maldi-plate"/>
      <w:r>
        <w:t xml:space="preserve">Cleaning the MALDI plate</w:t>
      </w:r>
      <w:bookmarkEnd w:id="26"/>
    </w:p>
    <w:p>
      <w:pPr>
        <w:pStyle w:val="Compact"/>
        <w:numPr>
          <w:numId w:val="1004"/>
          <w:ilvl w:val="0"/>
        </w:numPr>
      </w:pPr>
      <w:r>
        <w:t xml:space="preserve">Remove target plate from holder and briefly rinse with HPLC grade methanol.</w:t>
      </w:r>
    </w:p>
    <w:p>
      <w:pPr>
        <w:pStyle w:val="Compact"/>
        <w:numPr>
          <w:numId w:val="1004"/>
          <w:ilvl w:val="0"/>
        </w:numPr>
      </w:pPr>
      <w:r>
        <w:t xml:space="preserve">Air-dry, prevent touching or contaminating the top surface of the plate (the side with writing and MALDI-spot circles)</w:t>
      </w:r>
    </w:p>
    <w:p>
      <w:pPr>
        <w:pStyle w:val="Heading2"/>
      </w:pPr>
      <w:bookmarkStart w:id="27" w:name="maldi-matrix-preparation"/>
      <w:r>
        <w:t xml:space="preserve">MALDI Matrix Preparation</w:t>
      </w:r>
      <w:bookmarkEnd w:id="27"/>
    </w:p>
    <w:p>
      <w:pPr>
        <w:pStyle w:val="Compact"/>
        <w:numPr>
          <w:numId w:val="1005"/>
          <w:ilvl w:val="0"/>
        </w:numPr>
      </w:pPr>
      <w:r>
        <w:t xml:space="preserve">Prepare 10 mg/mL MALDI-grade</w:t>
      </w:r>
      <w:r>
        <w:t xml:space="preserve"> </w:t>
      </w:r>
      <w:hyperlink r:id="rId28">
        <w:r>
          <w:rPr>
            <w:rStyle w:val="Hyperlink"/>
          </w:rPr>
          <w:t xml:space="preserve">alpha-cyano-4-hydroxycinnamic acid</w:t>
        </w:r>
      </w:hyperlink>
      <w:r>
        <w:t xml:space="preserve"> </w:t>
      </w:r>
      <w:r>
        <w:t xml:space="preserve">(CHCA) in MS-grade solvents:</w:t>
      </w:r>
    </w:p>
    <w:p>
      <w:pPr>
        <w:pStyle w:val="Compact"/>
        <w:numPr>
          <w:numId w:val="1006"/>
          <w:ilvl w:val="1"/>
        </w:numPr>
      </w:pPr>
      <w:r>
        <w:t xml:space="preserve">50% Acetonitrile (ACN)</w:t>
      </w:r>
    </w:p>
    <w:p>
      <w:pPr>
        <w:pStyle w:val="Compact"/>
        <w:numPr>
          <w:numId w:val="1006"/>
          <w:ilvl w:val="1"/>
        </w:numPr>
      </w:pPr>
      <w:r>
        <w:t xml:space="preserve">47.5% Water (H</w:t>
      </w:r>
      <w:r>
        <w:t xml:space="preserve">2</w:t>
      </w:r>
      <w:r>
        <w:t xml:space="preserve">O)</w:t>
      </w:r>
    </w:p>
    <w:p>
      <w:pPr>
        <w:pStyle w:val="Compact"/>
        <w:numPr>
          <w:numId w:val="1006"/>
          <w:ilvl w:val="1"/>
        </w:numPr>
      </w:pPr>
      <w:r>
        <w:t xml:space="preserve">2.5% Trifluoroacetic Acid (TFA)</w:t>
      </w:r>
    </w:p>
    <w:p>
      <w:pPr>
        <w:pStyle w:val="Compact"/>
        <w:numPr>
          <w:numId w:val="1007"/>
          <w:ilvl w:val="2"/>
        </w:numPr>
      </w:pPr>
      <w:r>
        <w:t xml:space="preserve">e.g. 400 µL of solution = 200 µL ACN + 190 µL H</w:t>
      </w:r>
      <w:r>
        <w:t xml:space="preserve">2</w:t>
      </w:r>
      <w:r>
        <w:t xml:space="preserve">O + 10 µL TFA + 4 mg CHCA</w:t>
      </w:r>
    </w:p>
    <w:p>
      <w:pPr>
        <w:pStyle w:val="Compact"/>
        <w:numPr>
          <w:numId w:val="1008"/>
          <w:ilvl w:val="0"/>
        </w:numPr>
      </w:pPr>
      <w:r>
        <w:t xml:space="preserve">You will be using 1 µL per MALDI spot.</w:t>
      </w:r>
    </w:p>
    <w:p>
      <w:pPr>
        <w:pStyle w:val="Compact"/>
        <w:numPr>
          <w:numId w:val="1008"/>
          <w:ilvl w:val="0"/>
        </w:numPr>
      </w:pPr>
      <w:r>
        <w:t xml:space="preserve">Use matrix solution within 1 week and store unused solid and prepared CHCA matrix between 2-8 °C, in the dark.</w:t>
      </w:r>
    </w:p>
    <w:p>
      <w:r>
        <w:pict>
          <v:rect style="width:0;height:1.5pt" o:hralign="center" o:hrstd="t" o:hr="t"/>
        </w:pict>
      </w:r>
    </w:p>
    <w:p>
      <w:pPr>
        <w:pStyle w:val="Heading2"/>
      </w:pPr>
      <w:bookmarkStart w:id="29" w:name="applying-samples-to-the-maldi-plate"/>
      <w:r>
        <w:t xml:space="preserve">Applying Samples to the MALDI Plate</w:t>
      </w:r>
      <w:bookmarkEnd w:id="29"/>
    </w:p>
    <w:p>
      <w:pPr>
        <w:pStyle w:val="CaptionedFigure"/>
      </w:pPr>
      <w:r>
        <w:drawing>
          <wp:inline>
            <wp:extent cx="5334000" cy="3000375"/>
            <wp:effectExtent b="0" l="0" r="0" t="0"/>
            <wp:docPr descr="When applying bacteria you want your spot to look like the the spots in columns 1 to 2. Column 2 has a little too much, and 3 has too much cell material" title="" id="1" name="Picture"/>
            <a:graphic>
              <a:graphicData uri="http://schemas.openxmlformats.org/drawingml/2006/picture">
                <pic:pic>
                  <pic:nvPicPr>
                    <pic:cNvPr descr="ReadMe_Images/jove.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When applying bacteria you want your spot to look like the the spots in columns 1 to 2. Column 2 has a little too much, and 3 has too much cell material</w:t>
      </w:r>
    </w:p>
    <w:p>
      <w:pPr>
        <w:pStyle w:val="BodyText"/>
      </w:pPr>
    </w:p>
    <w:tbl>
      <w:tblPr>
        <w:tblStyle w:val="Table"/>
        <w:tblW w:type="pct" w:w="5000.0"/>
        <w:tblLook w:firstRow="0"/>
      </w:tblPr>
      <w:tblGrid>
        <w:gridCol w:w="3046"/>
        <w:gridCol w:w="4873"/>
      </w:tblGrid>
      <w:tr>
        <w:tc>
          <w:p>
            <w:pPr>
              <w:pStyle w:val="Compact"/>
              <w:jc w:val="left"/>
            </w:pPr>
            <w:r>
              <w:t xml:space="preserve">1. Apply bacteria directly without any prior chemical treatment. Smear a single bacterial colony in a thin layer directly onto the MALDI target plate using a sterile toothpick.</w:t>
            </w:r>
          </w:p>
        </w:tc>
        <w:tc>
          <w:p>
            <w:pPr>
              <w:pStyle w:val="Compact"/>
              <w:jc w:val="left"/>
            </w:pPr>
          </w:p>
        </w:tc>
      </w:tr>
      <w:tr>
        <w:tc>
          <w:p>
            <w:pPr>
              <w:pStyle w:val="Compact"/>
              <w:jc w:val="left"/>
            </w:pPr>
            <w:r>
              <w:t xml:space="preserve">2. Leave the Calibration spots empty.</w:t>
            </w:r>
          </w:p>
        </w:tc>
        <w:tc>
          <w:p/>
        </w:tc>
      </w:tr>
      <w:tr>
        <w:tc>
          <w:p>
            <w:pPr>
              <w:pStyle w:val="Compact"/>
              <w:jc w:val="left"/>
            </w:pPr>
            <w:r>
              <w:t xml:space="preserve">3. Add 1 µL of 70% formic acid to each bacterial spot, let air dry.</w:t>
            </w:r>
          </w:p>
        </w:tc>
        <w:tc>
          <w:p>
            <w:pPr>
              <w:pStyle w:val="Compact"/>
              <w:jc w:val="left"/>
            </w:pPr>
          </w:p>
        </w:tc>
      </w:tr>
      <w:tr>
        <w:tc>
          <w:p>
            <w:pPr>
              <w:pStyle w:val="Compact"/>
              <w:jc w:val="left"/>
            </w:pPr>
            <w:r>
              <w:t xml:space="preserve">4. Add 1 µL of MALDI matrix to each bacterial spot, let air dry.</w:t>
            </w:r>
          </w:p>
        </w:tc>
        <w:tc>
          <w:p>
            <w:pPr>
              <w:pStyle w:val="Compact"/>
              <w:jc w:val="left"/>
            </w:pPr>
          </w:p>
        </w:tc>
      </w:tr>
    </w:tbl>
    <w:p>
      <w:pPr>
        <w:pStyle w:val="Heading1"/>
      </w:pPr>
      <w:bookmarkStart w:id="31" w:name="murphy-lab"/>
      <w:r>
        <w:t xml:space="preserve">Murphy Lab</w:t>
      </w:r>
      <w:bookmarkEnd w:id="31"/>
    </w:p>
    <w:p>
      <w:pPr>
        <w:pStyle w:val="Heading2"/>
      </w:pPr>
      <w:bookmarkStart w:id="32" w:name="cleaning-the-maldi-plate-1"/>
      <w:r>
        <w:t xml:space="preserve">Cleaning the MALDI plate</w:t>
      </w:r>
      <w:bookmarkEnd w:id="32"/>
    </w:p>
    <w:p>
      <w:pPr>
        <w:pStyle w:val="FirstParagraph"/>
      </w:pPr>
      <w:r>
        <w:t xml:space="preserve">The MALDI plate should be properly cleaned before shipping. In order to clean the MALDI plate, use the steps below:</w:t>
      </w:r>
      <w:r>
        <w:t xml:space="preserve"> </w:t>
      </w:r>
      <w:r>
        <w:t xml:space="preserve">method adapted from</w:t>
      </w:r>
      <w:r>
        <w:t xml:space="preserve"> </w:t>
      </w:r>
      <w:hyperlink r:id="rId33">
        <w:r>
          <w:rPr>
            <w:rStyle w:val="Hyperlink"/>
          </w:rPr>
          <w:t xml:space="preserve">Freiwald &amp; Sauer</w:t>
        </w:r>
      </w:hyperlink>
    </w:p>
    <w:p>
      <w:pPr>
        <w:pStyle w:val="Compact"/>
        <w:numPr>
          <w:numId w:val="1009"/>
          <w:ilvl w:val="0"/>
        </w:numPr>
      </w:pPr>
      <w:r>
        <w:t xml:space="preserve">Remove target plate from holder and rinse with acetone.</w:t>
      </w:r>
    </w:p>
    <w:p>
      <w:pPr>
        <w:pStyle w:val="Compact"/>
        <w:numPr>
          <w:numId w:val="1009"/>
          <w:ilvl w:val="0"/>
        </w:numPr>
      </w:pPr>
      <w:r>
        <w:t xml:space="preserve">To remove trace protein/lipids, use non-abrasive liquid soap.</w:t>
      </w:r>
    </w:p>
    <w:p>
      <w:pPr>
        <w:pStyle w:val="Compact"/>
        <w:numPr>
          <w:numId w:val="1009"/>
          <w:ilvl w:val="0"/>
        </w:numPr>
      </w:pPr>
      <w:r>
        <w:t xml:space="preserve">Rinse with distilled water ~2 min to completely remove soap.</w:t>
      </w:r>
    </w:p>
    <w:p>
      <w:pPr>
        <w:pStyle w:val="Compact"/>
        <w:numPr>
          <w:numId w:val="1009"/>
          <w:ilvl w:val="0"/>
        </w:numPr>
      </w:pPr>
      <w:r>
        <w:t xml:space="preserve">Sonicate in HPLC grade water (Ultrasonic bath) for ~5 min.</w:t>
      </w:r>
    </w:p>
    <w:p>
      <w:pPr>
        <w:pStyle w:val="Compact"/>
        <w:numPr>
          <w:numId w:val="1009"/>
          <w:ilvl w:val="0"/>
        </w:numPr>
      </w:pPr>
      <w:r>
        <w:t xml:space="preserve">Rinse with HPLC grade water.</w:t>
      </w:r>
    </w:p>
    <w:p>
      <w:pPr>
        <w:pStyle w:val="Compact"/>
        <w:numPr>
          <w:numId w:val="1009"/>
          <w:ilvl w:val="0"/>
        </w:numPr>
      </w:pPr>
      <w:r>
        <w:t xml:space="preserve">Rinse with HPLC grade methanol.</w:t>
      </w:r>
    </w:p>
    <w:p>
      <w:pPr>
        <w:pStyle w:val="Heading2"/>
      </w:pPr>
      <w:bookmarkStart w:id="34" w:name="acquiring-data"/>
      <w:r>
        <w:t xml:space="preserve">Acquiring Data</w:t>
      </w:r>
      <w:bookmarkEnd w:id="34"/>
    </w:p>
    <w:p>
      <w:pPr>
        <w:pStyle w:val="FirstParagraph"/>
      </w:pPr>
      <w:r>
        <w:t xml:space="preserve">I’ll copy and paste steps from IDBac online readme.</w:t>
      </w:r>
    </w:p>
    <w:p>
      <w:pPr>
        <w:pStyle w:val="Compact"/>
      </w:pPr>
      <w:r>
        <w:t xml:space="preserve">Data Acquisition</w:t>
      </w:r>
    </w:p>
    <w:p>
      <w:pPr>
        <w:pStyle w:val="BodyText"/>
      </w:pPr>
      <w:r>
        <w:t xml:space="preserve">Once you have prepared your MALDI target plate you, will need to setup autoXecute and begin the data acquisition process.</w:t>
      </w:r>
      <w:r>
        <w:t xml:space="preserve"> </w:t>
      </w:r>
      <w:r>
        <w:t xml:space="preserve">The following section is written for a Bruker-autoflex™ model instrument, instructions may vary slightly depending on manufacturer/model.</w:t>
      </w:r>
    </w:p>
    <w:tbl>
      <w:tblPr>
        <w:tblStyle w:val="Table"/>
        <w:tblW w:type="pct" w:w="0.0"/>
        <w:tblLook w:firstRow="0"/>
      </w:tblPr>
      <w:tblGrid/>
      <w:tr>
        <w:tc>
          <w:p>
            <w:pPr>
              <w:pStyle w:val="Compact"/>
              <w:jc w:val="left"/>
            </w:pPr>
            <w:r>
              <w:t xml:space="preserve">1. Insert MALDI plate into the mass spectrometer</w:t>
            </w:r>
          </w:p>
        </w:tc>
        <w:tc>
          <w:p>
            <w:pPr>
              <w:pStyle w:val="Compact"/>
              <w:jc w:val="left"/>
            </w:pPr>
            <w:r>
              <w:t xml:space="preserve"> </w:t>
            </w:r>
            <w:r>
              <w:t xml:space="preserve"> </w:t>
            </w:r>
          </w:p>
        </w:tc>
      </w:tr>
    </w:tbl>
    <w:p>
      <w:pPr>
        <w:pStyle w:val="Compact"/>
      </w:pPr>
      <w:r>
        <w:t xml:space="preserve">| 2. Select the appropriate IDBac Method</w:t>
      </w:r>
    </w:p>
    <w:p>
      <w:pPr>
        <w:pStyle w:val="Compact"/>
      </w:pPr>
      <w:r>
        <w:t xml:space="preserve">“</w:t>
      </w:r>
      <w:r>
        <w:t xml:space="preserve">IDBac_Protein.par</w:t>
      </w:r>
      <w:r>
        <w:t xml:space="preserve">”</w:t>
      </w:r>
    </w:p>
    <w:p>
      <w:pPr>
        <w:pStyle w:val="Compact"/>
      </w:pPr>
      <w:r>
        <w:t xml:space="preserve">or</w:t>
      </w:r>
    </w:p>
    <w:p>
      <w:pPr>
        <w:pStyle w:val="Compact"/>
      </w:pPr>
      <w:r>
        <w:t xml:space="preserve">“</w:t>
      </w:r>
      <w:r>
        <w:t xml:space="preserve">IDBac_SmallMolecule.par</w:t>
      </w:r>
      <w:r>
        <w:t xml:space="preserve">”</w:t>
      </w:r>
    </w:p>
    <w:p>
      <w:pPr>
        <w:pStyle w:val="SourceCode"/>
      </w:pPr>
      <w:r>
        <w:rPr>
          <w:rStyle w:val="VerbatimChar"/>
        </w:rPr>
        <w:t xml:space="preserve">   |  &lt;a href="acquisiton_images/Acquire13.png" align="center"&gt; &lt;img align="center" src= "acquisiton_images/Acquire13.png" width=900 /&gt; &lt;/a&gt;    |</w:t>
      </w:r>
    </w:p>
    <w:p>
      <w:pPr>
        <w:pStyle w:val="Compact"/>
      </w:pPr>
      <w:r>
        <w:t xml:space="preserve">| 3. Under the</w:t>
      </w:r>
      <w:r>
        <w:t xml:space="preserve"> </w:t>
      </w:r>
      <w:r>
        <w:t xml:space="preserve">“</w:t>
      </w:r>
      <w:r>
        <w:t xml:space="preserve">AutoXecute</w:t>
      </w:r>
      <w:r>
        <w:t xml:space="preserve">”</w:t>
      </w:r>
      <w:r>
        <w:t xml:space="preserve"> </w:t>
      </w:r>
      <w:r>
        <w:t xml:space="preserve">control panel select</w:t>
      </w:r>
      <w:r>
        <w:t xml:space="preserve"> </w:t>
      </w:r>
      <w:r>
        <w:t xml:space="preserve">“</w:t>
      </w:r>
      <w:r>
        <w:t xml:space="preserve">New</w:t>
      </w:r>
      <w:r>
        <w:t xml:space="preserve">”</w:t>
      </w:r>
      <w:r>
        <w:t xml:space="preserve">, which is to the right of</w:t>
      </w:r>
      <w:r>
        <w:t xml:space="preserve"> </w:t>
      </w:r>
      <w:r>
        <w:t xml:space="preserve">“</w:t>
      </w:r>
      <w:r>
        <w:t xml:space="preserve">Run</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 4. If it wasn’t automatically detected, select the appropriate MALDI target plate geometry. |</w:t>
      </w:r>
      <w:r>
        <w:t xml:space="preserve"> </w:t>
      </w:r>
      <w:r>
        <w:t xml:space="preserve"> </w:t>
      </w:r>
      <w:r>
        <w:t xml:space="preserve"> </w:t>
      </w:r>
      <w:r>
        <w:t xml:space="preserve"> </w:t>
      </w:r>
      <w:r>
        <w:t xml:space="preserve">|</w:t>
      </w:r>
      <w:r>
        <w:t xml:space="preserve"> </w:t>
      </w:r>
      <w:r>
        <w:t xml:space="preserve">| 5. (Optional) Follow the directions to choose representative spots for laser power tuning and select</w:t>
      </w:r>
      <w:r>
        <w:t xml:space="preserve"> </w:t>
      </w:r>
      <w:r>
        <w:t xml:space="preserve">“</w:t>
      </w:r>
      <w:r>
        <w:t xml:space="preserve">Next</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 Note: If you skip step 5, you should manually determine the minimum laser fluency/power needed and then press</w:t>
      </w:r>
      <w:r>
        <w:t xml:space="preserve"> </w:t>
      </w:r>
      <w:r>
        <w:t xml:space="preserve">“</w:t>
      </w:r>
      <w:r>
        <w:t xml:space="preserve">Set initial laser power</w:t>
      </w:r>
      <w:r>
        <w:t xml:space="preserve">”</w:t>
      </w:r>
      <w:r>
        <w:t xml:space="preserve"> </w:t>
      </w:r>
      <w:r>
        <w:t xml:space="preserve">before beginning the run |</w:t>
      </w:r>
      <w:r>
        <w:t xml:space="preserve"> </w:t>
      </w:r>
      <w:r>
        <w:t xml:space="preserve"> </w:t>
      </w:r>
      <w:r>
        <w:t xml:space="preserve"> </w:t>
      </w:r>
      <w:r>
        <w:t xml:space="preserve"> </w:t>
      </w:r>
      <w:r>
        <w:t xml:space="preserve">|</w:t>
      </w:r>
      <w:r>
        <w:t xml:space="preserve"> </w:t>
      </w:r>
      <w:r>
        <w:t xml:space="preserve">| 6. Select</w:t>
      </w:r>
      <w:r>
        <w:t xml:space="preserve"> </w:t>
      </w:r>
      <w:r>
        <w:t xml:space="preserve">“</w:t>
      </w:r>
      <w:r>
        <w:t xml:space="preserve">Calibrate with own template</w:t>
      </w:r>
      <w:r>
        <w:t xml:space="preserve">”</w:t>
      </w:r>
      <w:r>
        <w:t xml:space="preserve"> </w:t>
      </w:r>
      <w:r>
        <w:t xml:space="preserve">and then select</w:t>
      </w:r>
      <w:r>
        <w:t xml:space="preserve"> </w:t>
      </w:r>
      <w:r>
        <w:t xml:space="preserve">“</w:t>
      </w:r>
      <w:r>
        <w:t xml:space="preserve">New</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 7. Follow the directions in the left panel and then select</w:t>
      </w:r>
      <w:r>
        <w:t xml:space="preserve"> </w:t>
      </w:r>
      <w:r>
        <w:t xml:space="preserve">“</w:t>
      </w:r>
      <w:r>
        <w:t xml:space="preserve">OK</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 8. Select</w:t>
      </w:r>
      <w:r>
        <w:t xml:space="preserve"> </w:t>
      </w:r>
      <w:r>
        <w:t xml:space="preserve">“</w:t>
      </w:r>
      <w:r>
        <w:t xml:space="preserve">Next</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 9. Within the</w:t>
      </w:r>
      <w:r>
        <w:t xml:space="preserve"> </w:t>
      </w:r>
      <w:r>
        <w:t xml:space="preserve">“</w:t>
      </w:r>
      <w:r>
        <w:t xml:space="preserve">run parameters</w:t>
      </w:r>
      <w:r>
        <w:t xml:space="preserve">”</w:t>
      </w:r>
      <w:r>
        <w:t xml:space="preserve"> </w:t>
      </w:r>
      <w:r>
        <w:t xml:space="preserve">page it is important to ensure the correct methods are selected in the correct places.</w:t>
      </w:r>
      <w:r>
        <w:t xml:space="preserve"> </w:t>
      </w:r>
      <w:r>
        <w:t xml:space="preserve"> </w:t>
      </w:r>
      <w:r>
        <w:t xml:space="preserve">For small molecule runs change both autoXecute methods to:</w:t>
      </w:r>
      <w:r>
        <w:t xml:space="preserve"> </w:t>
      </w:r>
      <w:r>
        <w:t xml:space="preserve"> </w:t>
      </w:r>
      <w:r>
        <w:t xml:space="preserve">“</w:t>
      </w:r>
      <w:r>
        <w:t xml:space="preserve">IDBac_Small-Molecule_autoX</w:t>
      </w:r>
      <w:r>
        <w:t xml:space="preserve">”</w:t>
      </w:r>
      <w:r>
        <w:t xml:space="preserve"> </w:t>
      </w:r>
      <w:r>
        <w:t xml:space="preserve"> </w:t>
      </w:r>
      <w:r>
        <w:t xml:space="preserve">For protein runs change both autoXecute methods to:</w:t>
      </w:r>
      <w:r>
        <w:t xml:space="preserve"> </w:t>
      </w:r>
      <w:r>
        <w:t xml:space="preserve"> </w:t>
      </w:r>
      <w:r>
        <w:t xml:space="preserve">“</w:t>
      </w:r>
      <w:r>
        <w:t xml:space="preserve">IDBac_Protein_AutoX.axe</w:t>
      </w:r>
      <w:r>
        <w:t xml:space="preserve">”</w:t>
      </w:r>
      <w:r>
        <w:t xml:space="preserve">.</w:t>
      </w:r>
      <w:r>
        <w:t xml:space="preserve"> </w:t>
      </w:r>
      <w:r>
        <w:t xml:space="preserve"> </w:t>
      </w:r>
      <w:r>
        <w:t xml:space="preserve">There are four flexAnalysis methods:</w:t>
      </w:r>
      <w:r>
        <w:t xml:space="preserve"> </w:t>
      </w:r>
    </w:p>
    <w:p>
      <w:pPr>
        <w:pStyle w:val="Compact"/>
      </w:pPr>
      <w:r>
        <w:t xml:space="preserve">The protein or small molecule</w:t>
      </w:r>
      <w:r>
        <w:t xml:space="preserve"> </w:t>
      </w:r>
      <w:r>
        <w:t xml:space="preserve">“</w:t>
      </w:r>
      <w:r>
        <w:t xml:space="preserve">Calibrant Calibration</w:t>
      </w:r>
      <w:r>
        <w:t xml:space="preserve">”</w:t>
      </w:r>
      <w:r>
        <w:t xml:space="preserve"> </w:t>
      </w:r>
      <w:r>
        <w:t xml:space="preserve">should be selected within the calibration box’s</w:t>
      </w:r>
      <w:r>
        <w:t xml:space="preserve"> </w:t>
      </w:r>
      <w:r>
        <w:t xml:space="preserve">“</w:t>
      </w:r>
      <w:r>
        <w:t xml:space="preserve">flexAnalysis Method</w:t>
      </w:r>
      <w:r>
        <w:t xml:space="preserve">”</w:t>
      </w:r>
      <w:r>
        <w:t xml:space="preserve"> </w:t>
      </w:r>
      <w:r>
        <w:t xml:space="preserve">pull-down menu.</w:t>
      </w:r>
    </w:p>
    <w:p>
      <w:pPr>
        <w:pStyle w:val="Compact"/>
      </w:pPr>
      <w:r>
        <w:t xml:space="preserve">IDBac Protein Calibrant Calibration</w:t>
      </w:r>
    </w:p>
    <w:p>
      <w:pPr>
        <w:pStyle w:val="Compact"/>
      </w:pPr>
      <w:r>
        <w:t xml:space="preserve">IDBac Small Molecule Calibrant Calibration</w:t>
      </w:r>
    </w:p>
    <w:p>
      <w:pPr>
        <w:pStyle w:val="BodyText"/>
      </w:pPr>
      <w:r>
        <w:t xml:space="preserve"> </w:t>
      </w:r>
      <w:r>
        <w:t xml:space="preserve">The protein or small molecule</w:t>
      </w:r>
      <w:r>
        <w:t xml:space="preserve"> </w:t>
      </w:r>
      <w:r>
        <w:t xml:space="preserve">“</w:t>
      </w:r>
      <w:r>
        <w:t xml:space="preserve">Unknown Sample Calibration</w:t>
      </w:r>
      <w:r>
        <w:t xml:space="preserve">”</w:t>
      </w:r>
      <w:r>
        <w:t xml:space="preserve"> </w:t>
      </w:r>
      <w:r>
        <w:t xml:space="preserve">should be selected within the second</w:t>
      </w:r>
      <w:r>
        <w:t xml:space="preserve"> </w:t>
      </w:r>
      <w:r>
        <w:t xml:space="preserve">“</w:t>
      </w:r>
      <w:r>
        <w:t xml:space="preserve">flexAnalysis Method</w:t>
      </w:r>
      <w:r>
        <w:t xml:space="preserve">”</w:t>
      </w:r>
      <w:r>
        <w:t xml:space="preserve"> </w:t>
      </w:r>
      <w:r>
        <w:t xml:space="preserve">pull-down menu.</w:t>
      </w:r>
      <w:r>
        <w:t xml:space="preserve"> </w:t>
      </w:r>
      <w:r>
        <w:t xml:space="preserve"> </w:t>
      </w:r>
      <w:r>
        <w:t xml:space="preserve">IDBac Protein Unknown Sample Calibration</w:t>
      </w:r>
      <w:r>
        <w:t xml:space="preserve"> </w:t>
      </w:r>
      <w:r>
        <w:t xml:space="preserve"> </w:t>
      </w:r>
      <w:r>
        <w:t xml:space="preserve">IDBac Small Molecule Unknown Sample Calibration</w:t>
      </w:r>
      <w:r>
        <w:t xml:space="preserve"> </w:t>
      </w:r>
      <w:r>
        <w:t xml:space="preserve"> </w:t>
      </w:r>
      <w:r>
        <w:t xml:space="preserve">When you have finished, select</w:t>
      </w:r>
      <w:r>
        <w:t xml:space="preserve"> </w:t>
      </w:r>
      <w:r>
        <w:t xml:space="preserve">“</w:t>
      </w:r>
      <w:r>
        <w:t xml:space="preserve">Next</w:t>
      </w:r>
      <w:r>
        <w:t xml:space="preserve">”</w:t>
      </w:r>
      <w:r>
        <w:t xml:space="preserve"> </w:t>
      </w:r>
      <w:r>
        <w:t xml:space="preserve"> </w:t>
      </w:r>
      <w:r>
        <w:t xml:space="preserve">|</w:t>
      </w:r>
      <w:r>
        <w:t xml:space="preserve"> </w:t>
      </w:r>
      <w:r>
        <w:t xml:space="preserve"> </w:t>
      </w:r>
      <w:r>
        <w:t xml:space="preserve"> </w:t>
      </w:r>
      <w:r>
        <w:t xml:space="preserve"> </w:t>
      </w:r>
      <w:r>
        <w:t xml:space="preserve"> </w:t>
      </w:r>
      <w:r>
        <w:t xml:space="preserve"> </w:t>
      </w:r>
      <w:r>
        <w:t xml:space="preserve"> </w:t>
      </w:r>
      <w:r>
        <w:t xml:space="preserve">|</w:t>
      </w:r>
      <w:r>
        <w:t xml:space="preserve"> </w:t>
      </w:r>
      <w:r>
        <w:t xml:space="preserve">| 10. Select</w:t>
      </w:r>
      <w:r>
        <w:t xml:space="preserve"> </w:t>
      </w:r>
      <w:r>
        <w:t xml:space="preserve">“</w:t>
      </w:r>
      <w:r>
        <w:t xml:space="preserve">Save as</w:t>
      </w:r>
      <w:r>
        <w:t xml:space="preserve">”</w:t>
      </w:r>
      <w:r>
        <w:t xml:space="preserve"> </w:t>
      </w:r>
      <w:r>
        <w:t xml:space="preserve">and save the sequence run to your data directory. Confirm and select</w:t>
      </w:r>
      <w:r>
        <w:t xml:space="preserve"> </w:t>
      </w:r>
      <w:r>
        <w:t xml:space="preserve">“</w:t>
      </w:r>
      <w:r>
        <w:t xml:space="preserve">OK</w:t>
      </w:r>
      <w:r>
        <w:t xml:space="preserve">”</w:t>
      </w:r>
      <w:r>
        <w:t xml:space="preserve"> </w:t>
      </w:r>
      <w:r>
        <w:t xml:space="preserve">|</w:t>
      </w:r>
      <w:r>
        <w:t xml:space="preserve"> </w:t>
      </w:r>
      <w:r>
        <w:t xml:space="preserve"> </w:t>
      </w:r>
      <w:r>
        <w:t xml:space="preserve"> </w:t>
      </w:r>
      <w:r>
        <w:t xml:space="preserve"> </w:t>
      </w:r>
      <w:r>
        <w:t xml:space="preserve">|</w:t>
      </w:r>
      <w:r>
        <w:t xml:space="preserve"> </w:t>
      </w:r>
      <w:r>
        <w:t xml:space="preserve">| 11. Under the</w:t>
      </w:r>
      <w:r>
        <w:t xml:space="preserve"> </w:t>
      </w:r>
      <w:r>
        <w:t xml:space="preserve">“</w:t>
      </w:r>
      <w:r>
        <w:t xml:space="preserve">AutoXecute</w:t>
      </w:r>
      <w:r>
        <w:t xml:space="preserve">”</w:t>
      </w:r>
      <w:r>
        <w:t xml:space="preserve"> </w:t>
      </w:r>
      <w:r>
        <w:t xml:space="preserve">control panel select</w:t>
      </w:r>
      <w:r>
        <w:t xml:space="preserve"> </w:t>
      </w:r>
      <w:r>
        <w:t xml:space="preserve">“</w:t>
      </w:r>
      <w:r>
        <w:t xml:space="preserve">Start automatic Run</w:t>
      </w:r>
      <w:r>
        <w:t xml:space="preserve">”</w:t>
      </w:r>
      <w:r>
        <w:t xml:space="preserve"> </w:t>
      </w:r>
      <w:r>
        <w:t xml:space="preserve">|</w:t>
      </w:r>
      <w:r>
        <w:t xml:space="preserve"> </w:t>
      </w:r>
      <w:r>
        <w:t xml:space="preserve"> </w:t>
      </w:r>
      <w:r>
        <w:t xml:space="preserve"> </w:t>
      </w:r>
      <w:r>
        <w:t xml:space="preserve"> </w:t>
      </w:r>
      <w:r>
        <w:t xml:space="preserve">|</w:t>
      </w:r>
    </w:p>
    <w:p>
      <w:pPr>
        <w:pStyle w:val="Heading2"/>
      </w:pPr>
      <w:bookmarkStart w:id="35" w:name="shipping-maldi-plates"/>
      <w:r>
        <w:t xml:space="preserve">Shipping MALDI Plates</w:t>
      </w:r>
      <w:bookmarkEnd w:id="35"/>
    </w:p>
    <w:p>
      <w:pPr>
        <w:pStyle w:val="Compact"/>
        <w:numPr>
          <w:numId w:val="1010"/>
          <w:ilvl w:val="0"/>
        </w:numPr>
      </w:pPr>
      <w:r>
        <w:t xml:space="preserve">The plates are to be placed within the plastic Bruker MALDI case, wrapped in ?bubble wrap? and placed inside a XXin x XXin corrugated cardboard box.</w:t>
      </w:r>
    </w:p>
    <w:p>
      <w:pPr>
        <w:pStyle w:val="Compact"/>
        <w:numPr>
          <w:numId w:val="1010"/>
          <w:ilvl w:val="0"/>
        </w:numPr>
      </w:pPr>
      <w:r>
        <w:t xml:space="preserve">Request two shipping labels from Rachel or Beth. One from the Murphy lab to the Metcalf lab and one from the Metcalf lab to the Murphy lab. Make sure to include return addresses.</w:t>
      </w:r>
    </w:p>
    <w:p>
      <w:pPr>
        <w:pStyle w:val="Compact"/>
        <w:numPr>
          <w:numId w:val="1010"/>
          <w:ilvl w:val="0"/>
        </w:numPr>
      </w:pPr>
      <w:r>
        <w:t xml:space="preserve">Request shipping labels for ?? overnight/two-day ?? shipping.</w:t>
      </w:r>
    </w:p>
    <w:p>
      <w:pPr>
        <w:pStyle w:val="Compact"/>
        <w:numPr>
          <w:numId w:val="1010"/>
          <w:ilvl w:val="0"/>
        </w:numPr>
      </w:pPr>
      <w:r>
        <w:t xml:space="preserve">Price of contents = $400 (or whatever MALDI plate costs)</w:t>
      </w:r>
    </w:p>
    <w:p>
      <w:pPr>
        <w:pStyle w:val="Heading3"/>
      </w:pPr>
      <w:bookmarkStart w:id="36" w:name="to-the-murphy-lab"/>
      <w:r>
        <w:t xml:space="preserve">To the Murphy Lab:</w:t>
      </w:r>
      <w:bookmarkEnd w:id="36"/>
    </w:p>
    <w:p>
      <w:pPr>
        <w:pStyle w:val="FirstParagraph"/>
      </w:pPr>
      <w:r>
        <w:t xml:space="preserve">Address:</w:t>
      </w:r>
    </w:p>
    <w:p>
      <w:pPr>
        <w:pStyle w:val="BodyText"/>
      </w:pPr>
      <w:r>
        <w:t xml:space="preserve">Dr. Brian T. Murphy</w:t>
      </w:r>
      <w:r>
        <w:t xml:space="preserve"> </w:t>
      </w:r>
      <w:r>
        <w:t xml:space="preserve">900 S. Ashland Ave. M/C 870</w:t>
      </w:r>
      <w:r>
        <w:t xml:space="preserve"> </w:t>
      </w:r>
      <w:r>
        <w:t xml:space="preserve">MBRB 3114</w:t>
      </w:r>
      <w:r>
        <w:t xml:space="preserve"> </w:t>
      </w:r>
      <w:r>
        <w:t xml:space="preserve">Chicago, IL 60607</w:t>
      </w:r>
    </w:p>
    <w:p>
      <w:pPr>
        <w:pStyle w:val="BodyText"/>
      </w:pPr>
      <w:r>
        <w:t xml:space="preserve">Contains:</w:t>
      </w:r>
    </w:p>
    <w:p>
      <w:pPr>
        <w:pStyle w:val="Heading2"/>
      </w:pPr>
      <w:bookmarkStart w:id="37" w:name="to-metcalf-lab"/>
      <w:r>
        <w:t xml:space="preserve">To Metcalf Lab</w:t>
      </w:r>
      <w:bookmarkEnd w:id="37"/>
    </w:p>
    <w:p>
      <w:pPr>
        <w:pStyle w:val="FirstParagraph"/>
      </w:pPr>
      <w:r>
        <w:t xml:space="preserve">Address:</w:t>
      </w:r>
    </w:p>
    <w:p>
      <w:pPr>
        <w:pStyle w:val="BodyText"/>
      </w:pPr>
      <w:r>
        <w:t xml:space="preserve">Contains:</w:t>
      </w:r>
    </w:p>
    <w:p>
      <w:pPr>
        <w:pStyle w:val="BodyText"/>
      </w:pPr>
      <w:r>
        <w:t xml:space="preserve">Use the Shipping Label found here:</w:t>
      </w:r>
    </w:p>
    <w:p>
      <w:pPr>
        <w:pStyle w:val="BodyText"/>
      </w:pPr>
      <w:r>
        <w:t xml:space="preserve">Address:</w:t>
      </w:r>
    </w:p>
    <w:p>
      <w:pPr>
        <w:pStyle w:val="BodyText"/>
      </w:pPr>
      <w:r>
        <w:t xml:space="preserve">c/o</w:t>
      </w:r>
    </w:p>
    <w:p>
      <w:pPr>
        <w:pStyle w:val="BodyText"/>
      </w:pPr>
      <w:r>
        <w:t xml:space="preserve">Contains:</w:t>
      </w:r>
    </w:p>
    <w:p>
      <w:r>
        <w:pict>
          <v:rect style="width:0;height:1.5pt" o:hralign="center" o:hrstd="t" o:hr="t"/>
        </w:pict>
      </w:r>
    </w:p>
    <w:p>
      <w:pPr>
        <w:pStyle w:val="Compact"/>
      </w:pPr>
      <w:r>
        <w:t xml:space="preserve">Data Storage</w:t>
      </w:r>
    </w:p>
    <w:p>
      <w:pPr>
        <w:pStyle w:val="BodyText"/>
      </w:pPr>
    </w:p>
    <w:p>
      <w:pPr>
        <w:pStyle w:val="Compact"/>
        <w:numPr>
          <w:numId w:val="1011"/>
          <w:ilvl w:val="0"/>
        </w:numPr>
      </w:pPr>
      <w:r>
        <w:t xml:space="preserve">All raw data will be named/stored in the following format:</w:t>
      </w:r>
    </w:p>
    <w:p>
      <w:pPr>
        <w:pStyle w:val="Compact"/>
        <w:numPr>
          <w:numId w:val="1012"/>
          <w:ilvl w:val="1"/>
        </w:numPr>
      </w:pPr>
      <w:r>
        <w:t xml:space="preserve">Per MALDI plate</w:t>
      </w:r>
    </w:p>
    <w:p>
      <w:pPr>
        <w:pStyle w:val="Compact"/>
        <w:numPr>
          <w:numId w:val="1013"/>
          <w:ilvl w:val="2"/>
        </w:numPr>
      </w:pPr>
      <w:r>
        <w:t xml:space="preserve">Each run will be saved within a folder named with the same name as the corresponding excel file, in the format dd_mm_yyyy_sssss</w:t>
      </w:r>
    </w:p>
    <w:p>
      <w:pPr>
        <w:pStyle w:val="Compact"/>
        <w:numPr>
          <w:numId w:val="1013"/>
          <w:ilvl w:val="2"/>
        </w:numPr>
      </w:pPr>
      <w:r>
        <w:t xml:space="preserve">The protein run will be saved within this dd_mm_yyyy_sssss folder, in a directory called</w:t>
      </w:r>
      <w:r>
        <w:t xml:space="preserve"> </w:t>
      </w:r>
      <w:r>
        <w:t xml:space="preserve">“</w:t>
      </w:r>
      <w:r>
        <w:t xml:space="preserve">p</w:t>
      </w:r>
      <w:r>
        <w:t xml:space="preserve">”</w:t>
      </w:r>
    </w:p>
    <w:p>
      <w:pPr>
        <w:pStyle w:val="Compact"/>
        <w:numPr>
          <w:numId w:val="1013"/>
          <w:ilvl w:val="2"/>
        </w:numPr>
      </w:pPr>
      <w:r>
        <w:t xml:space="preserve">The small molecule run will be saved within this dd_mm_yyyy_sssss folder, in a directory called</w:t>
      </w:r>
      <w:r>
        <w:t xml:space="preserve"> </w:t>
      </w:r>
      <w:r>
        <w:t xml:space="preserve">“</w:t>
      </w:r>
      <w:r>
        <w:t xml:space="preserve">s</w:t>
      </w:r>
      <w:r>
        <w:t xml:space="preserve">”</w:t>
      </w:r>
    </w:p>
    <w:p>
      <w:pPr>
        <w:pStyle w:val="Compact"/>
        <w:numPr>
          <w:numId w:val="1013"/>
          <w:ilvl w:val="2"/>
        </w:numPr>
      </w:pPr>
      <w:r>
        <w:drawing>
          <wp:inline>
            <wp:extent cx="2005532" cy="1167973"/>
            <wp:effectExtent b="0" l="0" r="0" t="0"/>
            <wp:docPr descr="" title="" id="1" name="Picture"/>
            <a:graphic>
              <a:graphicData uri="http://schemas.openxmlformats.org/drawingml/2006/picture">
                <pic:pic>
                  <pic:nvPicPr>
                    <pic:cNvPr descr="ReadMe_Images/Raw_data_folder_structure.PNG" id="0" name="Picture"/>
                    <pic:cNvPicPr>
                      <a:picLocks noChangeArrowheads="1" noChangeAspect="1"/>
                    </pic:cNvPicPr>
                  </pic:nvPicPr>
                  <pic:blipFill>
                    <a:blip r:embed="rId38"/>
                    <a:stretch>
                      <a:fillRect/>
                    </a:stretch>
                  </pic:blipFill>
                  <pic:spPr bwMode="auto">
                    <a:xfrm>
                      <a:off x="0" y="0"/>
                      <a:ext cx="2005532" cy="1167973"/>
                    </a:xfrm>
                    <a:prstGeom prst="rect">
                      <a:avLst/>
                    </a:prstGeom>
                    <a:noFill/>
                    <a:ln w="9525">
                      <a:noFill/>
                      <a:headEnd/>
                      <a:tailEnd/>
                    </a:ln>
                  </pic:spPr>
                </pic:pic>
              </a:graphicData>
            </a:graphic>
          </wp:inline>
        </w:drawing>
      </w:r>
    </w:p>
    <w:p>
      <w:pPr>
        <w:pStyle w:val="Compact"/>
        <w:numPr>
          <w:numId w:val="1011"/>
          <w:ilvl w:val="0"/>
        </w:numPr>
      </w:pPr>
      <w:r>
        <w:t xml:space="preserve">The correspdonding excel file will be placed inside the dd_mm_yyyy_sssss folder</w:t>
      </w:r>
    </w:p>
    <w:p>
      <w:pPr>
        <w:pStyle w:val="Compact"/>
        <w:numPr>
          <w:numId w:val="1011"/>
          <w:ilvl w:val="0"/>
        </w:numPr>
      </w:pPr>
      <w:r>
        <w:t xml:space="preserve">Each dd_mm_yyyy_sssss folder will then be saved for long-term storage by compressing to</w:t>
      </w:r>
      <w:r>
        <w:t xml:space="preserve"> </w:t>
      </w:r>
      <w:r>
        <w:t xml:space="preserve">“</w:t>
      </w:r>
      <w:r>
        <w:t xml:space="preserve">.7z</w:t>
      </w:r>
      <w:r>
        <w:t xml:space="preserve">”</w:t>
      </w:r>
      <w:r>
        <w:t xml:space="preserve"> </w:t>
      </w:r>
      <w:r>
        <w:t xml:space="preserve">with 7-zip.</w:t>
      </w:r>
      <w:r>
        <w:t xml:space="preserve"> </w:t>
      </w:r>
      <w:hyperlink r:id="rId39">
        <w:r>
          <w:rPr>
            <w:rStyle w:val="Hyperlink"/>
          </w:rPr>
          <w:t xml:space="preserve">https://www.7-zip.org/</w:t>
        </w:r>
      </w:hyperlink>
    </w:p>
    <w:p>
      <w:pPr>
        <w:pStyle w:val="Compact"/>
        <w:numPr>
          <w:numId w:val="1014"/>
          <w:ilvl w:val="1"/>
        </w:numPr>
      </w:pPr>
      <w:r>
        <w:t xml:space="preserve">This will immediately be stored:</w:t>
      </w:r>
    </w:p>
    <w:p>
      <w:pPr>
        <w:pStyle w:val="Compact"/>
        <w:numPr>
          <w:numId w:val="1015"/>
          <w:ilvl w:val="2"/>
        </w:numPr>
      </w:pPr>
      <w:r>
        <w:t xml:space="preserve">Locally on a RAID device. Location:</w:t>
      </w:r>
    </w:p>
    <w:p>
      <w:pPr>
        <w:pStyle w:val="Compact"/>
        <w:numPr>
          <w:numId w:val="1015"/>
          <w:ilvl w:val="2"/>
        </w:numPr>
      </w:pPr>
      <w:r>
        <w:t xml:space="preserve">In the cloud. Location:</w:t>
      </w:r>
      <w:r>
        <w:t xml:space="preserve"> </w:t>
      </w:r>
      <w:r>
        <w:t xml:space="preserve">“</w:t>
      </w:r>
      <w:r>
        <w:t xml:space="preserve">R01_IDBac</w:t>
      </w:r>
      <w:r>
        <w:t xml:space="preserve">”</w:t>
      </w:r>
      <w:r>
        <w:t xml:space="preserve"> </w:t>
      </w:r>
      <w:r>
        <w:t xml:space="preserve">google team drive, in the folder</w:t>
      </w:r>
      <w:r>
        <w:t xml:space="preserve"> </w:t>
      </w:r>
      <w:r>
        <w:t xml:space="preserve">“</w:t>
      </w:r>
      <w:r>
        <w:t xml:space="preserve">database-data</w:t>
      </w:r>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hyperlink" Id="rId22" Target="" TargetMode="External" /><Relationship Type="http://schemas.openxmlformats.org/officeDocument/2006/relationships/hyperlink" Id="rId33" Target="http://www.nature.com/nprot/journal/v4/n5/full/nprot.2009.37.html?foxtrotcallback=true" TargetMode="External" /><Relationship Type="http://schemas.openxmlformats.org/officeDocument/2006/relationships/hyperlink" Id="rId28" Target="http://www.sigmaaldrich.com/catalog/search?term=28166-41-8&amp;interface=CAS%20No.&amp;N=0&amp;mode=partialmax&amp;lang=en&amp;region=US&amp;focus=product" TargetMode="External" /><Relationship Type="http://schemas.openxmlformats.org/officeDocument/2006/relationships/hyperlink" Id="rId39" Target="https://www.7-zip.org/" TargetMode="External" /><Relationship Type="http://schemas.openxmlformats.org/officeDocument/2006/relationships/hyperlink" Id="rId23" Target="www.openoffice.org"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33" Target="http://www.nature.com/nprot/journal/v4/n5/full/nprot.2009.37.html?foxtrotcallback=true" TargetMode="External" /><Relationship Type="http://schemas.openxmlformats.org/officeDocument/2006/relationships/hyperlink" Id="rId28" Target="http://www.sigmaaldrich.com/catalog/search?term=28166-41-8&amp;interface=CAS%20No.&amp;N=0&amp;mode=partialmax&amp;lang=en&amp;region=US&amp;focus=product" TargetMode="External" /><Relationship Type="http://schemas.openxmlformats.org/officeDocument/2006/relationships/hyperlink" Id="rId39" Target="https://www.7-zip.org/" TargetMode="External" /><Relationship Type="http://schemas.openxmlformats.org/officeDocument/2006/relationships/hyperlink" Id="rId23" Target="www.openoffi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IDBac Database Protocol</dc:title>
  <dc:creator>Chase Clark</dc:creator>
  <cp:keywords/>
  <dcterms:created xsi:type="dcterms:W3CDTF">2019-01-31T15:24:10Z</dcterms:created>
  <dcterms:modified xsi:type="dcterms:W3CDTF">2019-01-31T15:24:10Z</dcterms:modified>
</cp:coreProperties>
</file>

<file path=docProps/custom.xml><?xml version="1.0" encoding="utf-8"?>
<Properties xmlns="http://schemas.openxmlformats.org/officeDocument/2006/custom-properties" xmlns:vt="http://schemas.openxmlformats.org/officeDocument/2006/docPropsVTypes"/>
</file>