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虚构市智能知识库平台建设项目 招标文件</w:t>
      </w:r>
    </w:p>
    <w:p>
      <w:pPr>
        <w:pStyle w:val="Heading1"/>
      </w:pPr>
      <w:r>
        <w:t>第一章 投标邀请</w:t>
      </w:r>
    </w:p>
    <w:p>
      <w:r>
        <w:t>虚构市数据资源局（以下简称采购人）就智能知识库平台建设项目进行公开招标，欢迎合格的供应商参加投标。</w:t>
      </w:r>
    </w:p>
    <w:p>
      <w:pPr>
        <w:pStyle w:val="Heading2"/>
      </w:pPr>
      <w:r>
        <w:t>一、项目基本情况</w:t>
      </w:r>
    </w:p>
    <w:p>
      <w:r>
        <w:t>项目编号：XG-2026-0815</w:t>
      </w:r>
    </w:p>
    <w:p>
      <w:r>
        <w:t>项目名称：虚构市智能知识库平台建设项目</w:t>
      </w:r>
    </w:p>
    <w:p>
      <w:r>
        <w:t>预算金额：48万元</w:t>
      </w:r>
    </w:p>
    <w:p>
      <w:r>
        <w:t>最高限价：48万元</w:t>
      </w:r>
    </w:p>
    <w:p>
      <w:r>
        <w:t>采购需求：建设面向全市政务人员的智能知识库平台，提供文档检索、智能问答和知识运营功能。</w:t>
      </w:r>
    </w:p>
    <w:p>
      <w:pPr>
        <w:pStyle w:val="Heading2"/>
      </w:pPr>
      <w:r>
        <w:t>二、获取招标文件</w:t>
      </w:r>
    </w:p>
    <w:p>
      <w:r>
        <w:t>时间：2026年10月8日至13日，每天上午9:00至11:30，下午14:00至17:00（北京时间，法定节假日除外）。</w:t>
      </w:r>
    </w:p>
    <w:p>
      <w:r>
        <w:t>方式：登录虚构市公共资源交易平台，使用CA数字证书在线获取。招标文件售价：0元。</w:t>
      </w:r>
    </w:p>
    <w:p>
      <w:pPr>
        <w:pStyle w:val="Heading2"/>
      </w:pPr>
      <w:r>
        <w:t>三、提交投标文件截止时间、开标时间和地点</w:t>
      </w:r>
    </w:p>
    <w:p>
      <w:r>
        <w:t>提交投标文件截止时间：2026年10月29日09:30（北京时间）。</w:t>
      </w:r>
    </w:p>
    <w:p>
      <w:r>
        <w:t>联系人：张工，电话：0000-12345678，邮箱：contact@example.invalid</w:t>
      </w:r>
    </w:p>
    <w:p>
      <w:pPr>
        <w:pStyle w:val="Heading1"/>
      </w:pPr>
      <w:r>
        <w:t>第二章 投标人须知</w:t>
      </w:r>
    </w:p>
    <w:p>
      <w:pPr>
        <w:pStyle w:val="Heading2"/>
      </w:pPr>
      <w:r>
        <w:t>一、投标人资格要求</w:t>
      </w:r>
    </w:p>
    <w:p>
      <w:r>
        <w:t>（一）满足《中华人民共和国政府采购法》第二十二条规定，具有独立承担民事责任的能力。</w:t>
      </w:r>
    </w:p>
    <w:p>
      <w:r>
        <w:t>（二）参加政府采购活动前三年内，在经营活动中没有重大违法记录。</w:t>
      </w:r>
    </w:p>
    <w:p>
      <w:r>
        <w:t>（三）单位负责人为同一人或者存在直接控股、管理关系的不同供应商，不得参加同一合同项下的政府采购活动。</w:t>
      </w:r>
    </w:p>
    <w:p>
      <w:r>
        <w:t>（四）本项目不接受联合体投标。</w:t>
      </w:r>
    </w:p>
    <w:p>
      <w:pPr>
        <w:pStyle w:val="Heading2"/>
      </w:pPr>
      <w:r>
        <w:t>二、投标保证金</w:t>
      </w:r>
    </w:p>
    <w:p>
      <w:r>
        <w:t>本项目不收取投标保证金。</w:t>
      </w:r>
    </w:p>
    <w:p>
      <w:pPr>
        <w:pStyle w:val="Heading1"/>
      </w:pPr>
      <w:r>
        <w:t>第三章 采购需求</w:t>
      </w:r>
    </w:p>
    <w:p>
      <w:pPr>
        <w:pStyle w:val="Heading2"/>
      </w:pPr>
      <w:r>
        <w:t>一、技术要求</w:t>
      </w:r>
    </w:p>
    <w:p>
      <w:r>
        <w:t>1. 平台应支持PDF、Word、Excel等常见格式文档的批量导入和自动解析，单批次导入不少于500份文档。</w:t>
      </w:r>
    </w:p>
    <w:p>
      <w:r>
        <w:t>2. 平台应提供基于大语言模型的智能问答功能，回答须标注引用的原文出处。</w:t>
      </w:r>
    </w:p>
    <w:p>
      <w:r>
        <w:t>3. 平台应支持私有化部署，所有数据存储在采购人指定的政务云环境内，不得传输至境外。</w:t>
      </w:r>
    </w:p>
    <w:p>
      <w:r>
        <w:t>4. 平台应提供知识运营后台，支持按部门设置文档访问权限。</w:t>
      </w:r>
    </w:p>
    <w:p>
      <w:pPr>
        <w:pStyle w:val="Heading2"/>
      </w:pPr>
      <w:r>
        <w:t>二、交付要求</w:t>
      </w:r>
    </w:p>
    <w:p>
      <w:r>
        <w:t>1. 合同签订后60日内完成系统开发、部署和试运行。</w:t>
      </w:r>
    </w:p>
    <w:p>
      <w:r>
        <w:t>2. 项目实施期间，中标人须安排不少于2名工程师驻场服务，驻场时间不少于30个工作日，服务地点为虚构市政务服务中心。</w:t>
      </w:r>
    </w:p>
    <w:p>
      <w:r>
        <w:t>3. 质保期为验收合格之日起12个月，质保期内提供7×24小时远程技术支持。</w:t>
      </w:r>
    </w:p>
    <w:p>
      <w:pPr>
        <w:pStyle w:val="Heading2"/>
      </w:pPr>
      <w:r>
        <w:t>三、人员要求</w:t>
      </w:r>
    </w:p>
    <w:p>
      <w:r>
        <w:t>项目经理须具有信息系统项目管理师（高级）证书，并提供近6个月社保缴纳证明。</w:t>
      </w:r>
    </w:p>
    <w:p>
      <w:pPr>
        <w:pStyle w:val="Heading1"/>
      </w:pPr>
      <w:r>
        <w:t>第四章 合同主要条款</w:t>
      </w:r>
    </w:p>
    <w:p>
      <w:r>
        <w:t>1. 付款方式：合同签订后支付合同金额的30%，项目终验合格后支付60%，质保期满后支付10%。</w:t>
      </w:r>
    </w:p>
    <w:p>
      <w:r>
        <w:t>2. 履约保证金：合同金额的5%，验收合格后无息退还。</w:t>
      </w:r>
    </w:p>
    <w:p>
      <w:pPr>
        <w:pStyle w:val="Heading1"/>
      </w:pPr>
      <w:r>
        <w:t>第五章 评标方法和评分标准</w:t>
      </w:r>
    </w:p>
    <w:p>
      <w:r>
        <w:t>本项目采用综合评分法，满分100分。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评分标准</w:t>
            </w:r>
          </w:p>
        </w:tc>
      </w:tr>
      <w:tr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满足招标文件要求且投标价格最低的报价为评标基准价，其价格分为满分</w:t>
            </w:r>
          </w:p>
        </w:tc>
      </w:tr>
      <w:tr>
        <w:tc>
          <w:tcPr>
            <w:tcW w:type="dxa" w:w="2880"/>
          </w:tcPr>
          <w:p>
            <w:r>
              <w:t>技术方案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根据技术方案的完整性、可行性和针对性综合评分</w:t>
            </w:r>
          </w:p>
        </w:tc>
      </w:tr>
      <w:tr>
        <w:tc>
          <w:tcPr>
            <w:tcW w:type="dxa" w:w="2880"/>
          </w:tcPr>
          <w:p>
            <w:r>
              <w:t>类似业绩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近三年每提供1个知识库或智能问答类项目合同得5分，最多15分</w:t>
            </w:r>
          </w:p>
        </w:tc>
      </w:tr>
      <w:tr>
        <w:tc>
          <w:tcPr>
            <w:tcW w:type="dxa" w:w="2880"/>
          </w:tcPr>
          <w:p>
            <w:r>
              <w:t>售后服务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根据售后服务方案和响应时间综合评分</w:t>
            </w:r>
          </w:p>
        </w:tc>
      </w:tr>
    </w:tbl>
    <w:p>
      <w:pPr>
        <w:pStyle w:val="Heading1"/>
      </w:pPr>
      <w:r>
        <w:t>第六章 投标文件格式</w:t>
      </w:r>
    </w:p>
    <w:p>
      <w:r>
        <w:t>附件1：投标函（格式）</w:t>
      </w:r>
    </w:p>
    <w:p>
      <w:r>
        <w:t>致：（采购人名称）我方愿意按照招标文件的一切要求，提供本项目的全部服务，投标总价为人民币（大写）______元。</w:t>
      </w:r>
    </w:p>
    <w:p>
      <w:r>
        <w:t>附件2：资格承诺函（格式）</w:t>
      </w:r>
    </w:p>
    <w:p>
      <w:r>
        <w:t>我单位承诺：参加本次政府采购活动前三年内，在经营活动中没有重大违法记录。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