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Paper on GICH housing assessment for JPER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Focus: How do new tools for citizen science empower local communities to collect and use data on housing conditions?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Submission guidelines: </w:t>
      </w:r>
      <w:hyperlink r:id="rId6">
        <w:r w:rsidDel="00000000" w:rsidR="00000000" w:rsidRPr="00000000">
          <w:rPr>
            <w:color w:val="1155cc"/>
            <w:u w:val="single"/>
            <w:rtl w:val="0"/>
          </w:rPr>
          <w:t xml:space="preserve">https://us.sagepub.com/en-us/nam/journal-of-planning-education-and-research/journal201289#submission-guidelines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color w:val="333333"/>
          <w:sz w:val="21"/>
          <w:szCs w:val="21"/>
          <w:highlight w:val="white"/>
          <w:rtl w:val="0"/>
        </w:rPr>
        <w:t xml:space="preserve">“Manuscripts should not exceed 8,000 words, including figures, tables, and references. Smaller tables and figures equate to 250 words, if they can be published one half page or less; larger tables and figures count for 500 words. Submissions exceeding 8,000 words are strongly discouraged and will not go to peer review without special approval from the editors. Notes, additional figures, supplementary materials, and detailed methodological explanations may be included in separate supplementary files. The abstract should be 100 words or less and summarize the purpose, methods, and findings of your paper.”</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Literature review (Need to retitle)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Role of housing assessments in community development and planning (Kim)</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Citizen science as method--forms of engagement and growth of open source/digital tools. Citizen science as a forum for discovering and articulating key issues (Jerry)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Setting and Methods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GICH as a program</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Materials for housing assessment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Participating communities--Monroe, Millen, Commerce (Warrenton, Evans Cty, Rockmart)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Findings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Participation by communities--# of responses, common issues. Use of collected photos to illustrate?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Value of the community assessment at seeing the community: conversations with residents, Millen tire cleanup, Focus on landlords in Monroe</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Communities focus on technology itself, jumping right in, rather than preparation or analysis. Our effort to create a more structured process.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Kim’s interviews--how do stakeholders talk about the outcomes of this process (or do they?). How is it being used by communities? Importance of leadership.</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Conclusions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Restate potential value of this approach and best practices we’ve identified for making it work. Effective at helping identify issues even if it heads in unexpected directions.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Importance of knowing what youre looking for--why important to do the assessment.</w:t>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s.sagepub.com/en-us/nam/journal-of-planning-education-and-research/journal201289#submission-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