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5.3 学习率调度：Cosine Schedule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本节目标：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预热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退火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学习率调度器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5.2 节中，我们实现了 AdamW 优化器。但仅有优化器是不够的，我们还需要控制学习率随时间变化的节奏。本节我们将实现 </w:t>
      </w:r>
      <w:r>
        <w:rPr>
          <w:rFonts w:eastAsia="等线" w:ascii="Arial" w:cs="Arial" w:hAnsi="Arial"/>
          <w:b w:val="true"/>
          <w:sz w:val="22"/>
        </w:rPr>
        <w:t>带预热的余弦退火学习率调度器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5.3.1 为什么学习率需要“调度”？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如果我们在整个训练过程中使用固定的学习率，模型会面临两个困境：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起步难</w:t>
      </w:r>
      <w:r>
        <w:rPr>
          <w:rFonts w:eastAsia="等线" w:ascii="Arial" w:cs="Arial" w:hAnsi="Arial"/>
          <w:sz w:val="22"/>
        </w:rPr>
        <w:t>：训练初期，模型参数是随机初始化的。如果学习率过大，不稳定的梯度会瞬间破坏模型，导致 Loss 爆炸。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收敛难</w:t>
      </w:r>
      <w:r>
        <w:rPr>
          <w:rFonts w:eastAsia="等线" w:ascii="Arial" w:cs="Arial" w:hAnsi="Arial"/>
          <w:sz w:val="22"/>
        </w:rPr>
        <w:t>：训练后期，模型已经接近最优解。如果学习率依然很大，优化器会在“山谷”底部反复横跳，无法进入最精确的低点。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Warmup（预热）</w:t>
      </w:r>
      <w:r>
        <w:rPr>
          <w:rFonts w:eastAsia="等线" w:ascii="Arial" w:cs="Arial" w:hAnsi="Arial"/>
          <w:sz w:val="22"/>
        </w:rPr>
        <w:t>：起步时，学习率从 0 线性增加到最大值。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Cosine Decay（余弦衰减）</w:t>
      </w:r>
      <w:r>
        <w:rPr>
          <w:rFonts w:eastAsia="等线" w:ascii="Arial" w:cs="Arial" w:hAnsi="Arial"/>
          <w:sz w:val="22"/>
        </w:rPr>
        <w:t>：到达顶点后，学习率按照余弦曲线平滑下降。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5.3.2 算法阶段拆解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我们将学习率的演变分为三个阶段：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1. 预热阶段 (Warm-up)</w:t>
      </w:r>
      <w:bookmarkEnd w:id="2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</w:t>
      </w:r>
      <w:r>
        <w:rPr>
          <w:rFonts w:eastAsia="等线" w:ascii="Arial" w:cs="Arial" w:hAnsi="Arial"/>
          <w:sz w:val="22"/>
        </w:rPr>
        <w:t>：像飞机起飞，在跑道上逐渐加速。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warmup</m:t>
                  </m:r>
                </m:sub>
              </m:sSub>
            </m:den>
          </m:f>
        </m:oMath>
      </m:oMathPara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物理意义</w:t>
      </w:r>
      <w:r>
        <w:rPr>
          <w:rFonts w:eastAsia="等线" w:ascii="Arial" w:cs="Arial" w:hAnsi="Arial"/>
          <w:sz w:val="22"/>
        </w:rPr>
        <w:t>：让模型在不稳定的训练初期，以极小的步长“试探”方向，逐渐过渡到高速训练。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2. 余弦退火阶段 (Cosine Annealing)</w:t>
      </w:r>
      <w:bookmarkEnd w:id="3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</w:t>
      </w:r>
      <w:r>
        <w:rPr>
          <w:rFonts w:eastAsia="等线" w:ascii="Arial" w:cs="Arial" w:hAnsi="Arial"/>
          <w:sz w:val="22"/>
        </w:rPr>
        <w:t>：像平滑降落，优雅地进入最优区域。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公式核心</w:t>
      </w:r>
      <w:r>
        <w:rPr>
          <w:rFonts w:eastAsia="等线" w:ascii="Arial" w:cs="Arial" w:hAnsi="Arial"/>
          <w:sz w:val="22"/>
        </w:rPr>
        <w:t xml:space="preserve">：利用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cos</m:t>
          </m:r>
        </m:oMath>
      </m:oMathPara>
      <w:r>
        <w:rPr>
          <w:rFonts w:eastAsia="等线" w:ascii="Arial" w:cs="Arial" w:hAnsi="Arial"/>
          <w:sz w:val="22"/>
        </w:rPr>
        <w:t xml:space="preserve"> 函数在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[0,π]</m:t>
          </m:r>
        </m:oMath>
      </m:oMathPara>
      <w:r>
        <w:rPr>
          <w:rFonts w:eastAsia="等线" w:ascii="Arial" w:cs="Arial" w:hAnsi="Arial"/>
          <w:sz w:val="22"/>
        </w:rPr>
        <w:t xml:space="preserve"> 区间从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</m:t>
          </m:r>
        </m:oMath>
      </m:oMathPara>
      <w:r>
        <w:rPr>
          <w:rFonts w:eastAsia="等线" w:ascii="Arial" w:cs="Arial" w:hAnsi="Arial"/>
          <w:sz w:val="22"/>
        </w:rPr>
        <w:t xml:space="preserve"> 降到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−1</m:t>
          </m:r>
        </m:oMath>
      </m:oMathPara>
      <w:r>
        <w:rPr>
          <w:rFonts w:eastAsia="等线" w:ascii="Arial" w:cs="Arial" w:hAnsi="Arial"/>
          <w:sz w:val="22"/>
        </w:rPr>
        <w:t xml:space="preserve"> 的特性。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通过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(1+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⁡(…))</m:t>
          </m:r>
        </m:oMath>
      </m:oMathPara>
      <w:r>
        <w:rPr>
          <w:rFonts w:eastAsia="等线" w:ascii="Arial" w:cs="Arial" w:hAnsi="Arial"/>
          <w:sz w:val="22"/>
        </w:rPr>
        <w:t>，我们将波动范围映射到 $[1, 0]$。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优势</w:t>
      </w:r>
      <w:r>
        <w:rPr>
          <w:rFonts w:eastAsia="等线" w:ascii="Arial" w:cs="Arial" w:hAnsi="Arial"/>
          <w:sz w:val="22"/>
        </w:rPr>
        <w:t>：相比于阶梯式下降，余弦退火没有突然的数值跳变，梯度更加平滑。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3. 退火后阶段 (Post-annealing)</w:t>
      </w:r>
      <w:bookmarkEnd w:id="4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</w:t>
      </w:r>
      <w:r>
        <w:rPr>
          <w:rFonts w:eastAsia="等线" w:ascii="Arial" w:cs="Arial" w:hAnsi="Arial"/>
          <w:sz w:val="22"/>
        </w:rPr>
        <w:t>：保持最低速滑行。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</m:oMath>
      </m:oMathPara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物理意义</w:t>
      </w:r>
      <w:r>
        <w:rPr>
          <w:rFonts w:eastAsia="等线" w:ascii="Arial" w:cs="Arial" w:hAnsi="Arial"/>
          <w:sz w:val="22"/>
        </w:rPr>
        <w:t>：当预定的训练周期结束，如果还需要继续训练，则维持一个极小的学习率进行微调。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5.3.3 其他学习率调度策略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https://zhuanlan.zhihu.com/p/14402471296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代码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math</w:t>
              <w:br/>
              <w:br/>
              <w:t>def get_lr_cosine_schedule(</w:t>
              <w:br/>
              <w:t xml:space="preserve">    it: int, </w:t>
              <w:br/>
              <w:t xml:space="preserve">    max_learning_rate: float, </w:t>
              <w:br/>
              <w:t xml:space="preserve">    min_learning_rate: float, </w:t>
              <w:br/>
              <w:t xml:space="preserve">    warmup_iters: int, </w:t>
              <w:br/>
              <w:t xml:space="preserve">    cosine_cycle_iters: int</w:t>
              <w:br/>
              <w:t>) -&gt; float:</w:t>
              <w:br/>
              <w:t xml:space="preserve">    """</w:t>
              <w:br/>
              <w:t xml:space="preserve">    计算第 it 次迭代时，带预热的余弦退火学习率。</w:t>
              <w:br/>
              <w:t xml:space="preserve">    </w:t>
              <w:br/>
              <w:t xml:space="preserve">    参数:</w:t>
              <w:br/>
              <w:t xml:space="preserve">        it: 当前迭代步数 (t)</w:t>
              <w:br/>
              <w:t xml:space="preserve">        max_learning_rate: 学习率的峰值 (alpha_max)</w:t>
              <w:br/>
              <w:t xml:space="preserve">        min_learning_rate: 学习率的底值 (alpha_min)</w:t>
              <w:br/>
              <w:t xml:space="preserve">        warmup_iters: 预热阶段的总步数 (T_w)</w:t>
              <w:br/>
              <w:t xml:space="preserve">        cosine_cycle_iters: 整个衰减周期结束的步数 (T_c)</w:t>
              <w:br/>
              <w:t xml:space="preserve">    """</w:t>
              <w:br/>
              <w:t xml:space="preserve">    </w:t>
              <w:br/>
              <w:t xml:space="preserve">    # 1. 预热阶段：线性增长逻辑</w:t>
              <w:br/>
              <w:t xml:space="preserve">    if it &lt; warmup_iters:</w:t>
              <w:br/>
              <w:t xml:space="preserve">        # 从 0 匀速增长到 max_learning_rate</w:t>
              <w:br/>
              <w:t xml:space="preserve">        return max_learning_rate * it / warmup_iters</w:t>
              <w:br/>
              <w:t xml:space="preserve">    </w:t>
              <w:br/>
              <w:t xml:space="preserve">    # 2. 衰减周期后：维持最小值</w:t>
              <w:br/>
              <w:t xml:space="preserve">    if it &gt; cosine_cycle_iters:</w:t>
              <w:br/>
              <w:t xml:space="preserve">        return min_learning_rate</w:t>
              <w:br/>
              <w:t xml:space="preserve">    </w:t>
              <w:br/>
              <w:t xml:space="preserve">    # 3. 余弦退火核心逻辑</w:t>
              <w:br/>
              <w:t xml:space="preserve">    # a. 计算当前处于退火阶段的进度百分比 (0.0 到 1.0)</w:t>
              <w:br/>
              <w:t xml:space="preserve">    # it - warmup_iters: 距离预热结束走了多少步</w:t>
              <w:br/>
              <w:t xml:space="preserve">    # cosine_cycle_iters - warmup_iters: 整个退火阶段的总长度</w:t>
              <w:br/>
              <w:t xml:space="preserve">    decay_ratio = (it - warmup_iters) / (cosine_cycle_iters - warmup_iters)</w:t>
              <w:br/>
              <w:t xml:space="preserve">    </w:t>
              <w:br/>
              <w:t xml:space="preserve">    # b. 计算余弦系数</w:t>
              <w:br/>
              <w:t xml:space="preserve">    # math.cos(math.pi * decay_ratio): </w:t>
              <w:br/>
              <w:t xml:space="preserve">    # 当进度为 0 时，结果为 cos(0) = 1</w:t>
              <w:br/>
              <w:t xml:space="preserve">    # 当进度为 1 时，结果为 cos(pi) = -1</w:t>
              <w:br/>
              <w:t xml:space="preserve">    # coeff = 0.5 * (1 + [-1, 1]) -&gt; 范围 [0.0, 1.0]</w:t>
              <w:br/>
              <w:t xml:space="preserve">    coeff = 0.5 * (1.0 + math.cos(math.pi * decay_ratio))</w:t>
              <w:br/>
              <w:t xml:space="preserve">    </w:t>
              <w:br/>
              <w:t xml:space="preserve">    # c. 最终计算</w:t>
              <w:br/>
              <w:t xml:space="preserve">    # 学习率从 max 降向 min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min_learning_rate + coeff * (max_learning_rate - min_learning_rate)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68262">
    <w:lvl>
      <w:start w:val="1"/>
      <w:numFmt w:val="decimal"/>
      <w:suff w:val="tab"/>
      <w:lvlText w:val="%1."/>
      <w:rPr>
        <w:color w:val="3370ff"/>
      </w:rPr>
    </w:lvl>
  </w:abstractNum>
  <w:abstractNum w:abstractNumId="468263">
    <w:lvl>
      <w:start w:val="2"/>
      <w:numFmt w:val="decimal"/>
      <w:suff w:val="tab"/>
      <w:lvlText w:val="%1."/>
      <w:rPr>
        <w:color w:val="3370ff"/>
      </w:rPr>
    </w:lvl>
  </w:abstractNum>
  <w:abstractNum w:abstractNumId="468264">
    <w:lvl>
      <w:start w:val="3"/>
      <w:numFmt w:val="decimal"/>
      <w:suff w:val="tab"/>
      <w:lvlText w:val="%1."/>
      <w:rPr>
        <w:color w:val="3370ff"/>
      </w:rPr>
    </w:lvl>
  </w:abstractNum>
  <w:abstractNum w:abstractNumId="468265">
    <w:lvl>
      <w:start w:val="1"/>
      <w:numFmt w:val="decimal"/>
      <w:suff w:val="tab"/>
      <w:lvlText w:val="%1."/>
      <w:rPr>
        <w:color w:val="3370ff"/>
      </w:rPr>
    </w:lvl>
  </w:abstractNum>
  <w:abstractNum w:abstractNumId="468266">
    <w:lvl>
      <w:start w:val="2"/>
      <w:numFmt w:val="decimal"/>
      <w:suff w:val="tab"/>
      <w:lvlText w:val="%1."/>
      <w:rPr>
        <w:color w:val="3370ff"/>
      </w:rPr>
    </w:lvl>
  </w:abstractNum>
  <w:abstractNum w:abstractNumId="468267">
    <w:lvl>
      <w:numFmt w:val="bullet"/>
      <w:suff w:val="tab"/>
      <w:lvlText w:val="•"/>
      <w:rPr>
        <w:color w:val="3370ff"/>
      </w:rPr>
    </w:lvl>
  </w:abstractNum>
  <w:abstractNum w:abstractNumId="468268">
    <w:lvl>
      <w:numFmt w:val="bullet"/>
      <w:suff w:val="tab"/>
      <w:lvlText w:val="•"/>
      <w:rPr>
        <w:color w:val="3370ff"/>
      </w:rPr>
    </w:lvl>
  </w:abstractNum>
  <w:abstractNum w:abstractNumId="468269">
    <w:lvl>
      <w:numFmt w:val="bullet"/>
      <w:suff w:val="tab"/>
      <w:lvlText w:val="•"/>
      <w:rPr>
        <w:color w:val="3370ff"/>
      </w:rPr>
    </w:lvl>
  </w:abstractNum>
  <w:abstractNum w:abstractNumId="468270">
    <w:lvl>
      <w:numFmt w:val="bullet"/>
      <w:suff w:val="tab"/>
      <w:lvlText w:val="•"/>
      <w:rPr>
        <w:color w:val="3370ff"/>
      </w:rPr>
    </w:lvl>
  </w:abstractNum>
  <w:abstractNum w:abstractNumId="468271">
    <w:lvl>
      <w:numFmt w:val="bullet"/>
      <w:suff w:val="tab"/>
      <w:lvlText w:val="•"/>
      <w:rPr>
        <w:color w:val="3370ff"/>
      </w:rPr>
    </w:lvl>
  </w:abstractNum>
  <w:abstractNum w:abstractNumId="468272">
    <w:lvl>
      <w:numFmt w:val="bullet"/>
      <w:suff w:val="tab"/>
      <w:lvlText w:val="•"/>
      <w:rPr>
        <w:color w:val="3370ff"/>
      </w:rPr>
    </w:lvl>
  </w:abstractNum>
  <w:abstractNum w:abstractNumId="468273">
    <w:lvl>
      <w:numFmt w:val="bullet"/>
      <w:suff w:val="tab"/>
      <w:lvlText w:val="•"/>
      <w:rPr>
        <w:color w:val="3370ff"/>
      </w:rPr>
    </w:lvl>
  </w:abstractNum>
  <w:abstractNum w:abstractNumId="468274">
    <w:lvl>
      <w:numFmt w:val="bullet"/>
      <w:suff w:val="tab"/>
      <w:lvlText w:val="￮"/>
      <w:rPr>
        <w:color w:val="3370ff"/>
      </w:rPr>
    </w:lvl>
  </w:abstractNum>
  <w:abstractNum w:abstractNumId="468275">
    <w:lvl>
      <w:numFmt w:val="bullet"/>
      <w:suff w:val="tab"/>
      <w:lvlText w:val="•"/>
      <w:rPr>
        <w:color w:val="3370ff"/>
      </w:rPr>
    </w:lvl>
  </w:abstractNum>
  <w:abstractNum w:abstractNumId="468276">
    <w:lvl>
      <w:numFmt w:val="bullet"/>
      <w:suff w:val="tab"/>
      <w:lvlText w:val="•"/>
      <w:rPr>
        <w:color w:val="3370ff"/>
      </w:rPr>
    </w:lvl>
  </w:abstractNum>
  <w:abstractNum w:abstractNumId="468277">
    <w:lvl>
      <w:numFmt w:val="bullet"/>
      <w:suff w:val="tab"/>
      <w:lvlText w:val="•"/>
      <w:rPr>
        <w:color w:val="3370ff"/>
      </w:rPr>
    </w:lvl>
  </w:abstractNum>
  <w:abstractNum w:abstractNumId="468278">
    <w:lvl>
      <w:numFmt w:val="bullet"/>
      <w:suff w:val="tab"/>
      <w:lvlText w:val="•"/>
      <w:rPr>
        <w:color w:val="3370ff"/>
      </w:rPr>
    </w:lvl>
  </w:abstractNum>
  <w:num w:numId="1">
    <w:abstractNumId w:val="468262"/>
  </w:num>
  <w:num w:numId="2">
    <w:abstractNumId w:val="468263"/>
  </w:num>
  <w:num w:numId="3">
    <w:abstractNumId w:val="468264"/>
  </w:num>
  <w:num w:numId="4">
    <w:abstractNumId w:val="468265"/>
  </w:num>
  <w:num w:numId="5">
    <w:abstractNumId w:val="468266"/>
  </w:num>
  <w:num w:numId="6">
    <w:abstractNumId w:val="468267"/>
  </w:num>
  <w:num w:numId="7">
    <w:abstractNumId w:val="468268"/>
  </w:num>
  <w:num w:numId="8">
    <w:abstractNumId w:val="468269"/>
  </w:num>
  <w:num w:numId="9">
    <w:abstractNumId w:val="468270"/>
  </w:num>
  <w:num w:numId="10">
    <w:abstractNumId w:val="468271"/>
  </w:num>
  <w:num w:numId="11">
    <w:abstractNumId w:val="468272"/>
  </w:num>
  <w:num w:numId="12">
    <w:abstractNumId w:val="468273"/>
  </w:num>
  <w:num w:numId="13">
    <w:abstractNumId w:val="468274"/>
  </w:num>
  <w:num w:numId="14">
    <w:abstractNumId w:val="468275"/>
  </w:num>
  <w:num w:numId="15">
    <w:abstractNumId w:val="468276"/>
  </w:num>
  <w:num w:numId="16">
    <w:abstractNumId w:val="468277"/>
  </w:num>
  <w:num w:numId="17">
    <w:abstractNumId w:val="46827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2026-07-26T08:31:21Z</dcterms:created>
  <dc:creator>Apache POI</dc:creator>
</cp:coreProperties>
</file>