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 任务定义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明确模型在不同阶段缺失了什么能力，所以才需要下一阶段。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 Pre-train、Continue Pre-train 到 Post-train 的任务目标。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理清 Post-train 内部从 SFT 到 PPO、DPO，再到推理 RL 的迭代逻辑。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1.1 任务定义：LLM 从通用智能到逻辑推理的演进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基础预训练 (Pre-training)：构建语言的底层概率分布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为什么要进行预训练？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计算机本质上只能处理数值，无法理解文字背后的逻辑。为了让模型拥有理解万物的基础，我们需要让它在近乎无限的文本海中通过“统计规律”自发地学习语法、常识和推理雏形。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任务定义：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数据集特点</w:t>
      </w:r>
      <w:r>
        <w:rPr>
          <w:rFonts w:eastAsia="等线" w:ascii="Arial" w:cs="Arial" w:hAnsi="Arial"/>
          <w:sz w:val="22"/>
        </w:rPr>
        <w:t>：TB 级海量原始语料（网页、书籍、百科）。这些数据是</w:t>
      </w:r>
      <w:r>
        <w:rPr>
          <w:rFonts w:eastAsia="等线" w:ascii="Arial" w:cs="Arial" w:hAnsi="Arial"/>
          <w:b w:val="true"/>
          <w:sz w:val="22"/>
        </w:rPr>
        <w:t>无标注</w:t>
      </w:r>
      <w:r>
        <w:rPr>
          <w:rFonts w:eastAsia="等线" w:ascii="Arial" w:cs="Arial" w:hAnsi="Arial"/>
          <w:sz w:val="22"/>
        </w:rPr>
        <w:t>的，充满噪声。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目标任务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自监督自回归预测</w:t>
      </w:r>
      <w:r>
        <w:rPr>
          <w:rFonts w:eastAsia="等线" w:ascii="Arial" w:cs="Arial" w:hAnsi="Arial"/>
          <w:sz w:val="22"/>
        </w:rPr>
        <w:t xml:space="preserve">。即给定前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 个词，预测第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N+1</m:t>
          </m:r>
        </m:oMath>
      </m:oMathPara>
      <w:r>
        <w:rPr>
          <w:rFonts w:eastAsia="等线" w:ascii="Arial" w:cs="Arial" w:hAnsi="Arial"/>
          <w:sz w:val="22"/>
        </w:rPr>
        <w:t xml:space="preserve"> 个词。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产出成果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Base Model（通用基座模型）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此时的模型只是一个极其强大的“续写机器”。如果你给它输入“如何制作蛋糕？”，它可能续写出一份菜单，也可能续写出一段关于蛋糕的历史，因为它并不理解这是一个“指令”。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基础预训练模型虽然博学，但它的知识分布极其宽泛。由于训练数据中专业理科（如数学、物理、代码）的高质量数据占比极低，模型在面对</w:t>
      </w:r>
      <w:r>
        <w:rPr>
          <w:rFonts w:eastAsia="等线" w:ascii="Arial" w:cs="Arial" w:hAnsi="Arial"/>
          <w:b w:val="true"/>
          <w:sz w:val="22"/>
        </w:rPr>
        <w:t>高浓度逻辑推理任务</w:t>
      </w:r>
      <w:r>
        <w:rPr>
          <w:rFonts w:eastAsia="等线" w:ascii="Arial" w:cs="Arial" w:hAnsi="Arial"/>
          <w:sz w:val="22"/>
        </w:rPr>
        <w:t>时，往往表现得“浅尝辄止”，无法准确掌握复杂的公式推导。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因此，我们需要“持续预训练”来补课。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持续预训练 (Continue Pre-training)：垂直领域的知识灌输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为什么要进行持续预训练？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通用基座模型虽然博学，但在特定领域（如高等数学、法律、代码）的语料占比可能不到 1%。由于相关领域的专业词汇分布稀疏，通用模型在处理专业逻辑时往往表现平庸，出现“幻觉”。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任务定义：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数据集特点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高密度、高质量的专业数据</w:t>
      </w:r>
      <w:r>
        <w:rPr>
          <w:rFonts w:eastAsia="等线" w:ascii="Arial" w:cs="Arial" w:hAnsi="Arial"/>
          <w:sz w:val="22"/>
        </w:rPr>
        <w:t>（如数学教材、学术论文、GitHub 代码库）。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：在基座模型的基础上，继续使用预训练的损失函数（Next Token Prediction）进行训练。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产出成果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Domain-specific Base Model（领域基座模型）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案例</w:t>
      </w:r>
      <w:r>
        <w:rPr>
          <w:rFonts w:eastAsia="等线" w:ascii="Arial" w:cs="Arial" w:hAnsi="Arial"/>
          <w:sz w:val="22"/>
        </w:rPr>
        <w:t xml:space="preserve">：本课程使用的 </w:t>
      </w:r>
      <w:r>
        <w:rPr>
          <w:rFonts w:eastAsia="等线" w:ascii="Arial" w:cs="Arial" w:hAnsi="Arial"/>
          <w:b w:val="true"/>
          <w:sz w:val="22"/>
        </w:rPr>
        <w:t>Qwen 2.5 Math 1.5B Base</w:t>
      </w:r>
      <w:r>
        <w:rPr>
          <w:rFonts w:eastAsia="等线" w:ascii="Arial" w:cs="Arial" w:hAnsi="Arial"/>
          <w:sz w:val="22"/>
        </w:rPr>
        <w:t xml:space="preserve"> 便是典型代表。它是在 Qwen 通用基座上，针对数理逻辑进行了大量 Continue Pre-training 的结果。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 xml:space="preserve">：即便此时的模型已经拥有丰富的领域知识，它依然不知道如何与人沟通。它依然是一个“续写机器”：你问它求导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它可能续写出一份教学大纲。它</w:t>
      </w:r>
      <w:r>
        <w:rPr>
          <w:rFonts w:eastAsia="等线" w:ascii="Arial" w:cs="Arial" w:hAnsi="Arial"/>
          <w:b w:val="true"/>
          <w:sz w:val="22"/>
        </w:rPr>
        <w:t>不理解指令</w:t>
      </w:r>
      <w:r>
        <w:rPr>
          <w:rFonts w:eastAsia="等线" w:ascii="Arial" w:cs="Arial" w:hAnsi="Arial"/>
          <w:sz w:val="22"/>
        </w:rPr>
        <w:t>，也不懂</w:t>
      </w:r>
      <w:r>
        <w:rPr>
          <w:rFonts w:eastAsia="等线" w:ascii="Arial" w:cs="Arial" w:hAnsi="Arial"/>
          <w:b w:val="true"/>
          <w:sz w:val="22"/>
        </w:rPr>
        <w:t>分步思考（CoT）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因此，我们需要进入“后训练”阶段来进行“对齐”。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三、 后训练 (Post-training)：指令对齐与价值观重塑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这是将“知识”转化为“能力”的关键阶段。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为什么要进行后训练？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前两个阶段训练的模型，虽然拥有了丰富的知识，但它依然是“混沌”的。它不知道对话的规范，不理解人类的偏好，更无法在复杂的推理任务中自发地进行分步思考。为了让模型变得“好用”且“可控”，我们需要进入 Post-training 阶段。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任务细分定义：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(1) 监督微调 (SFT, Supervised Fine-Tuning)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：利用“指令-回答”对（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(q,a)</m:t>
          </m:r>
        </m:oMath>
      </m:oMathPara>
      <w:r>
        <w:rPr>
          <w:rFonts w:eastAsia="等线" w:ascii="Arial" w:cs="Arial" w:hAnsi="Arial"/>
          <w:sz w:val="22"/>
        </w:rPr>
        <w:t xml:space="preserve"> pairs）让模型模仿。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数据特点</w:t>
      </w:r>
      <w:r>
        <w:rPr>
          <w:rFonts w:eastAsia="等线" w:ascii="Arial" w:cs="Arial" w:hAnsi="Arial"/>
          <w:sz w:val="22"/>
        </w:rPr>
        <w:t>：量小（通常几千到几万条）、质高。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 xml:space="preserve">：教导模型学会对话格式。例如，本实验中要求模型使用 </w:t>
      </w:r>
      <w:r>
        <w:rPr>
          <w:rFonts w:eastAsia="Consolas" w:ascii="Consolas" w:cs="Consolas" w:hAnsi="Consolas"/>
          <w:sz w:val="22"/>
          <w:shd w:fill="EFF0F1"/>
        </w:rPr>
        <w:t>&lt;think&gt;</w:t>
      </w:r>
      <w:r>
        <w:rPr>
          <w:rFonts w:eastAsia="等线" w:ascii="Arial" w:cs="Arial" w:hAnsi="Arial"/>
          <w:sz w:val="22"/>
        </w:rPr>
        <w:t xml:space="preserve"> 标签进行推理，这就是通过 SFT 确立的行为风格。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：SFT 属于**“表面形式模仿”**。模型只学会了模仿文本的风格，并不知道回答的对错，更无法应对那些没见过的复杂问题（即泛化能力受限）。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因此，我们需要引入“反馈信号”来告诉模型什么是好回答。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(2) 强化学习：RLHF ( Reinforcement Learning from Human Feedback)与 PPO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：SFT 只能让模型“模仿”标准答案，但人类的偏好是多维度的（比如：简洁、幽默、安全）。有些好坏难以用单一的标准答案来衡量。我们需要训练一个奖励模型（RM）来模拟人类的打分，并引导模型优化。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采样与排序</w:t>
      </w:r>
      <w:r>
        <w:rPr>
          <w:rFonts w:eastAsia="等线" w:ascii="Arial" w:cs="Arial" w:hAnsi="Arial"/>
          <w:sz w:val="22"/>
        </w:rPr>
        <w:t>：模型对同一个问题生成多个回答，人类对回答进行好坏排序。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奖励建模 (Reward Modeling)</w:t>
      </w:r>
      <w:r>
        <w:rPr>
          <w:rFonts w:eastAsia="等线" w:ascii="Arial" w:cs="Arial" w:hAnsi="Arial"/>
          <w:sz w:val="22"/>
        </w:rPr>
        <w:t>：训练一个 Reward 模型来模拟人类的打分。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策略优化 (PPO)</w:t>
      </w:r>
      <w:r>
        <w:rPr>
          <w:rFonts w:eastAsia="等线" w:ascii="Arial" w:cs="Arial" w:hAnsi="Arial"/>
          <w:sz w:val="22"/>
        </w:rPr>
        <w:t>：通过 PPO 算法，模型在 RM 的指挥下通过不断“试错”来调整策略。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 xml:space="preserve">：PPO </w:t>
      </w:r>
      <w:r>
        <w:rPr>
          <w:rFonts w:eastAsia="等线" w:ascii="Arial" w:cs="Arial" w:hAnsi="Arial"/>
          <w:b w:val="true"/>
          <w:sz w:val="22"/>
        </w:rPr>
        <w:t>工程极其复杂且不稳定</w:t>
      </w:r>
      <w:r>
        <w:rPr>
          <w:rFonts w:eastAsia="等线" w:ascii="Arial" w:cs="Arial" w:hAnsi="Arial"/>
          <w:sz w:val="22"/>
        </w:rPr>
        <w:t>。它需要同时运行 4 个模型（策略、参考、奖励、价值），显存开销极大，且极易由于奖励模型的小漏洞导致“奖励作弊”。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因此，工业界迫切需要一种更简洁、更稳定的偏好对齐方式。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(3) 直接偏好优化 (DPO, Direct Preference Optimization)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理由</w:t>
      </w:r>
      <w:r>
        <w:rPr>
          <w:rFonts w:eastAsia="等线" w:ascii="Arial" w:cs="Arial" w:hAnsi="Arial"/>
          <w:sz w:val="22"/>
        </w:rPr>
        <w:t>：PPO 流程极其复杂，需要维护四个模型，且训练非常不稳定。DPO 提出：不需要奖励模型和复杂的强化学习，直接在“好回答”和“坏回答”的对比数据上进行损失函数优化。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训练数据格式：（prompt，good_answer, bad_answer）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：DPO 抛弃了显式的奖励模型。它利用数学转换，直接在(好回答, 坏回答)的对比对上进行优化。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：将 RL 问题简化为分类损失函数优化，极大地提升了训练的稳定性和效率。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局限性</w:t>
      </w:r>
      <w:r>
        <w:rPr>
          <w:rFonts w:eastAsia="等线" w:ascii="Arial" w:cs="Arial" w:hAnsi="Arial"/>
          <w:sz w:val="22"/>
        </w:rPr>
        <w:t>：DPO 在处理“偏好”时非常有效，但在</w:t>
      </w:r>
      <w:r>
        <w:rPr>
          <w:rFonts w:eastAsia="等线" w:ascii="Arial" w:cs="Arial" w:hAnsi="Arial"/>
          <w:b w:val="true"/>
          <w:sz w:val="22"/>
        </w:rPr>
        <w:t>数学推理</w:t>
      </w:r>
      <w:r>
        <w:rPr>
          <w:rFonts w:eastAsia="等线" w:ascii="Arial" w:cs="Arial" w:hAnsi="Arial"/>
          <w:sz w:val="22"/>
        </w:rPr>
        <w:t>等具有“绝对对错”的任务中，由于它只看相对好坏，不看客观真理，且没有在线采样的过程，无法有效激发模型的自主搜索能力。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因此，对于推理任务，我们需要回归“在线强化学习”。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(4) 推理强化学习 (Reasoning RL / GRPO)</w:t>
      </w:r>
      <w:bookmarkEnd w:id="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：这是本课程的核心。针对数学等有</w:t>
      </w:r>
      <w:r>
        <w:rPr>
          <w:rFonts w:eastAsia="等线" w:ascii="Arial" w:cs="Arial" w:hAnsi="Arial"/>
          <w:b w:val="true"/>
          <w:sz w:val="22"/>
        </w:rPr>
        <w:t>客观标准答案</w:t>
      </w:r>
      <w:r>
        <w:rPr>
          <w:rFonts w:eastAsia="等线" w:ascii="Arial" w:cs="Arial" w:hAnsi="Arial"/>
          <w:sz w:val="22"/>
        </w:rPr>
        <w:t>的任务，我们不再依赖人工排序，而是直接利用结果的对错作为奖励。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GRPO</w:t>
      </w:r>
      <w:r>
        <w:rPr>
          <w:rFonts w:eastAsia="等线" w:ascii="Arial" w:cs="Arial" w:hAnsi="Arial"/>
          <w:sz w:val="22"/>
        </w:rPr>
        <w:t>：这是 DeepSeek 提出的最新算法，通过组内相对打分取消了 Critic 网络，是目前先进的 Reasoning RL 实践。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总结：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Post-train 的本质，就是通过各种手段（模仿或反馈），把预训练中习得的广阔知识，压缩到人类想要的、正确的表达路径上。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算法局限性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Pre-train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语言基本规律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预测下一个词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专业逻辑知识匮乏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Continue Pre-train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专业知识密度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垂直语料训练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不懂指令，不会交流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Post-train: SFT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格式与指令意识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模仿学习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仅表面模仿，逻辑死板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Post-train: PPO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无法量化多维偏好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奖励模型+RL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极度不稳定，显存吞噬者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Post-train: DPO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RLHF 复杂度过高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离线对比学习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缺乏自主探索推理路径的能力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Post-train: GRPO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推理准确率瓶颈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在线验证奖励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仅适用于有客观标准的任务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2498">
    <w:lvl>
      <w:numFmt w:val="bullet"/>
      <w:suff w:val="tab"/>
      <w:lvlText w:val="•"/>
      <w:rPr>
        <w:color w:val="3370ff"/>
      </w:rPr>
    </w:lvl>
  </w:abstractNum>
  <w:abstractNum w:abstractNumId="662499">
    <w:lvl>
      <w:numFmt w:val="bullet"/>
      <w:suff w:val="tab"/>
      <w:lvlText w:val="•"/>
      <w:rPr>
        <w:color w:val="3370ff"/>
      </w:rPr>
    </w:lvl>
  </w:abstractNum>
  <w:abstractNum w:abstractNumId="662500">
    <w:lvl>
      <w:numFmt w:val="bullet"/>
      <w:suff w:val="tab"/>
      <w:lvlText w:val="•"/>
      <w:rPr>
        <w:color w:val="3370ff"/>
      </w:rPr>
    </w:lvl>
  </w:abstractNum>
  <w:abstractNum w:abstractNumId="662501">
    <w:lvl>
      <w:numFmt w:val="bullet"/>
      <w:suff w:val="tab"/>
      <w:lvlText w:val="•"/>
      <w:rPr>
        <w:color w:val="3370ff"/>
      </w:rPr>
    </w:lvl>
  </w:abstractNum>
  <w:abstractNum w:abstractNumId="662502">
    <w:lvl>
      <w:numFmt w:val="bullet"/>
      <w:suff w:val="tab"/>
      <w:lvlText w:val="•"/>
      <w:rPr>
        <w:color w:val="3370ff"/>
      </w:rPr>
    </w:lvl>
  </w:abstractNum>
  <w:abstractNum w:abstractNumId="662503">
    <w:lvl>
      <w:numFmt w:val="bullet"/>
      <w:suff w:val="tab"/>
      <w:lvlText w:val="•"/>
      <w:rPr>
        <w:color w:val="3370ff"/>
      </w:rPr>
    </w:lvl>
  </w:abstractNum>
  <w:abstractNum w:abstractNumId="662504">
    <w:lvl>
      <w:numFmt w:val="bullet"/>
      <w:suff w:val="tab"/>
      <w:lvlText w:val="•"/>
      <w:rPr>
        <w:color w:val="3370ff"/>
      </w:rPr>
    </w:lvl>
  </w:abstractNum>
  <w:abstractNum w:abstractNumId="662505">
    <w:lvl>
      <w:numFmt w:val="bullet"/>
      <w:suff w:val="tab"/>
      <w:lvlText w:val="￮"/>
      <w:rPr>
        <w:color w:val="3370ff"/>
      </w:rPr>
    </w:lvl>
  </w:abstractNum>
  <w:abstractNum w:abstractNumId="662506">
    <w:lvl>
      <w:numFmt w:val="bullet"/>
      <w:suff w:val="tab"/>
      <w:lvlText w:val="￮"/>
      <w:rPr>
        <w:color w:val="3370ff"/>
      </w:rPr>
    </w:lvl>
  </w:abstractNum>
  <w:abstractNum w:abstractNumId="662507">
    <w:lvl>
      <w:numFmt w:val="bullet"/>
      <w:suff w:val="tab"/>
      <w:lvlText w:val="￮"/>
      <w:rPr>
        <w:color w:val="3370ff"/>
      </w:rPr>
    </w:lvl>
  </w:abstractNum>
  <w:abstractNum w:abstractNumId="662508">
    <w:lvl>
      <w:numFmt w:val="bullet"/>
      <w:suff w:val="tab"/>
      <w:lvlText w:val="•"/>
      <w:rPr>
        <w:color w:val="3370ff"/>
      </w:rPr>
    </w:lvl>
  </w:abstractNum>
  <w:abstractNum w:abstractNumId="662509">
    <w:lvl>
      <w:numFmt w:val="bullet"/>
      <w:suff w:val="tab"/>
      <w:lvlText w:val="•"/>
      <w:rPr>
        <w:color w:val="3370ff"/>
      </w:rPr>
    </w:lvl>
  </w:abstractNum>
  <w:abstractNum w:abstractNumId="662510">
    <w:lvl>
      <w:numFmt w:val="bullet"/>
      <w:suff w:val="tab"/>
      <w:lvlText w:val="•"/>
      <w:rPr>
        <w:color w:val="3370ff"/>
      </w:rPr>
    </w:lvl>
  </w:abstractNum>
  <w:abstractNum w:abstractNumId="662511">
    <w:lvl>
      <w:numFmt w:val="bullet"/>
      <w:suff w:val="tab"/>
      <w:lvlText w:val="￮"/>
      <w:rPr>
        <w:color w:val="3370ff"/>
      </w:rPr>
    </w:lvl>
  </w:abstractNum>
  <w:abstractNum w:abstractNumId="662512">
    <w:lvl>
      <w:numFmt w:val="bullet"/>
      <w:suff w:val="tab"/>
      <w:lvlText w:val="•"/>
      <w:rPr>
        <w:color w:val="3370ff"/>
      </w:rPr>
    </w:lvl>
  </w:abstractNum>
  <w:abstractNum w:abstractNumId="662513">
    <w:lvl>
      <w:numFmt w:val="bullet"/>
      <w:suff w:val="tab"/>
      <w:lvlText w:val="•"/>
      <w:rPr>
        <w:color w:val="3370ff"/>
      </w:rPr>
    </w:lvl>
  </w:abstractNum>
  <w:abstractNum w:abstractNumId="662514">
    <w:lvl>
      <w:numFmt w:val="bullet"/>
      <w:suff w:val="tab"/>
      <w:lvlText w:val="•"/>
      <w:rPr>
        <w:color w:val="3370ff"/>
      </w:rPr>
    </w:lvl>
  </w:abstractNum>
  <w:abstractNum w:abstractNumId="662515">
    <w:lvl>
      <w:numFmt w:val="bullet"/>
      <w:suff w:val="tab"/>
      <w:lvlText w:val="•"/>
      <w:rPr>
        <w:color w:val="3370ff"/>
      </w:rPr>
    </w:lvl>
  </w:abstractNum>
  <w:abstractNum w:abstractNumId="662516">
    <w:lvl>
      <w:numFmt w:val="bullet"/>
      <w:suff w:val="tab"/>
      <w:lvlText w:val="•"/>
      <w:rPr>
        <w:color w:val="3370ff"/>
      </w:rPr>
    </w:lvl>
  </w:abstractNum>
  <w:abstractNum w:abstractNumId="662517">
    <w:lvl>
      <w:numFmt w:val="bullet"/>
      <w:suff w:val="tab"/>
      <w:lvlText w:val="•"/>
      <w:rPr>
        <w:color w:val="3370ff"/>
      </w:rPr>
    </w:lvl>
  </w:abstractNum>
  <w:abstractNum w:abstractNumId="662518">
    <w:lvl>
      <w:numFmt w:val="bullet"/>
      <w:suff w:val="tab"/>
      <w:lvlText w:val="•"/>
      <w:rPr>
        <w:color w:val="3370ff"/>
      </w:rPr>
    </w:lvl>
  </w:abstractNum>
  <w:abstractNum w:abstractNumId="662519">
    <w:lvl>
      <w:numFmt w:val="bullet"/>
      <w:suff w:val="tab"/>
      <w:lvlText w:val="•"/>
      <w:rPr>
        <w:color w:val="3370ff"/>
      </w:rPr>
    </w:lvl>
  </w:abstractNum>
  <w:abstractNum w:abstractNumId="662520">
    <w:lvl>
      <w:numFmt w:val="bullet"/>
      <w:suff w:val="tab"/>
      <w:lvlText w:val="•"/>
      <w:rPr>
        <w:color w:val="3370ff"/>
      </w:rPr>
    </w:lvl>
  </w:abstractNum>
  <w:abstractNum w:abstractNumId="662521">
    <w:lvl>
      <w:start w:val="1"/>
      <w:numFmt w:val="lowerLetter"/>
      <w:suff w:val="tab"/>
      <w:lvlText w:val="%1."/>
      <w:rPr>
        <w:color w:val="3370ff"/>
      </w:rPr>
    </w:lvl>
  </w:abstractNum>
  <w:abstractNum w:abstractNumId="662522">
    <w:lvl>
      <w:start w:val="2"/>
      <w:numFmt w:val="lowerLetter"/>
      <w:suff w:val="tab"/>
      <w:lvlText w:val="%1."/>
      <w:rPr>
        <w:color w:val="3370ff"/>
      </w:rPr>
    </w:lvl>
  </w:abstractNum>
  <w:abstractNum w:abstractNumId="662523">
    <w:lvl>
      <w:start w:val="3"/>
      <w:numFmt w:val="lowerLetter"/>
      <w:suff w:val="tab"/>
      <w:lvlText w:val="%1."/>
      <w:rPr>
        <w:color w:val="3370ff"/>
      </w:rPr>
    </w:lvl>
  </w:abstractNum>
  <w:abstractNum w:abstractNumId="662524">
    <w:lvl>
      <w:numFmt w:val="bullet"/>
      <w:suff w:val="tab"/>
      <w:lvlText w:val="•"/>
      <w:rPr>
        <w:color w:val="3370ff"/>
      </w:rPr>
    </w:lvl>
  </w:abstractNum>
  <w:abstractNum w:abstractNumId="662525">
    <w:lvl>
      <w:numFmt w:val="bullet"/>
      <w:suff w:val="tab"/>
      <w:lvlText w:val="•"/>
      <w:rPr>
        <w:color w:val="3370ff"/>
      </w:rPr>
    </w:lvl>
  </w:abstractNum>
  <w:abstractNum w:abstractNumId="662526">
    <w:lvl>
      <w:numFmt w:val="bullet"/>
      <w:suff w:val="tab"/>
      <w:lvlText w:val="•"/>
      <w:rPr>
        <w:color w:val="3370ff"/>
      </w:rPr>
    </w:lvl>
  </w:abstractNum>
  <w:abstractNum w:abstractNumId="662527">
    <w:lvl>
      <w:numFmt w:val="bullet"/>
      <w:suff w:val="tab"/>
      <w:lvlText w:val="•"/>
      <w:rPr>
        <w:color w:val="3370ff"/>
      </w:rPr>
    </w:lvl>
  </w:abstractNum>
  <w:abstractNum w:abstractNumId="662528">
    <w:lvl>
      <w:numFmt w:val="bullet"/>
      <w:suff w:val="tab"/>
      <w:lvlText w:val="•"/>
      <w:rPr>
        <w:color w:val="3370ff"/>
      </w:rPr>
    </w:lvl>
  </w:abstractNum>
  <w:abstractNum w:abstractNumId="662529">
    <w:lvl>
      <w:numFmt w:val="bullet"/>
      <w:suff w:val="tab"/>
      <w:lvlText w:val="•"/>
      <w:rPr>
        <w:color w:val="3370ff"/>
      </w:rPr>
    </w:lvl>
  </w:abstractNum>
  <w:abstractNum w:abstractNumId="662530">
    <w:lvl>
      <w:numFmt w:val="bullet"/>
      <w:suff w:val="tab"/>
      <w:lvlText w:val="•"/>
      <w:rPr>
        <w:color w:val="3370ff"/>
      </w:rPr>
    </w:lvl>
  </w:abstractNum>
  <w:abstractNum w:abstractNumId="662531">
    <w:lvl>
      <w:numFmt w:val="bullet"/>
      <w:suff w:val="tab"/>
      <w:lvlText w:val="•"/>
      <w:rPr>
        <w:color w:val="3370ff"/>
      </w:rPr>
    </w:lvl>
  </w:abstractNum>
  <w:abstractNum w:abstractNumId="662532">
    <w:lvl>
      <w:numFmt w:val="bullet"/>
      <w:suff w:val="tab"/>
      <w:lvlText w:val="•"/>
      <w:rPr>
        <w:color w:val="3370ff"/>
      </w:rPr>
    </w:lvl>
  </w:abstractNum>
  <w:abstractNum w:abstractNumId="662533">
    <w:lvl>
      <w:numFmt w:val="bullet"/>
      <w:suff w:val="tab"/>
      <w:lvlText w:val="•"/>
      <w:rPr>
        <w:color w:val="3370ff"/>
      </w:rPr>
    </w:lvl>
  </w:abstractNum>
  <w:num w:numId="1">
    <w:abstractNumId w:val="662498"/>
  </w:num>
  <w:num w:numId="2">
    <w:abstractNumId w:val="662499"/>
  </w:num>
  <w:num w:numId="3">
    <w:abstractNumId w:val="662500"/>
  </w:num>
  <w:num w:numId="4">
    <w:abstractNumId w:val="662501"/>
  </w:num>
  <w:num w:numId="5">
    <w:abstractNumId w:val="662502"/>
  </w:num>
  <w:num w:numId="6">
    <w:abstractNumId w:val="662503"/>
  </w:num>
  <w:num w:numId="7">
    <w:abstractNumId w:val="662504"/>
  </w:num>
  <w:num w:numId="8">
    <w:abstractNumId w:val="662505"/>
  </w:num>
  <w:num w:numId="9">
    <w:abstractNumId w:val="662506"/>
  </w:num>
  <w:num w:numId="10">
    <w:abstractNumId w:val="662507"/>
  </w:num>
  <w:num w:numId="11">
    <w:abstractNumId w:val="662508"/>
  </w:num>
  <w:num w:numId="12">
    <w:abstractNumId w:val="662509"/>
  </w:num>
  <w:num w:numId="13">
    <w:abstractNumId w:val="662510"/>
  </w:num>
  <w:num w:numId="14">
    <w:abstractNumId w:val="662511"/>
  </w:num>
  <w:num w:numId="15">
    <w:abstractNumId w:val="662512"/>
  </w:num>
  <w:num w:numId="16">
    <w:abstractNumId w:val="662513"/>
  </w:num>
  <w:num w:numId="17">
    <w:abstractNumId w:val="662514"/>
  </w:num>
  <w:num w:numId="18">
    <w:abstractNumId w:val="662515"/>
  </w:num>
  <w:num w:numId="19">
    <w:abstractNumId w:val="662516"/>
  </w:num>
  <w:num w:numId="20">
    <w:abstractNumId w:val="662517"/>
  </w:num>
  <w:num w:numId="21">
    <w:abstractNumId w:val="662518"/>
  </w:num>
  <w:num w:numId="22">
    <w:abstractNumId w:val="662519"/>
  </w:num>
  <w:num w:numId="23">
    <w:abstractNumId w:val="662520"/>
  </w:num>
  <w:num w:numId="24">
    <w:abstractNumId w:val="662521"/>
  </w:num>
  <w:num w:numId="25">
    <w:abstractNumId w:val="662522"/>
  </w:num>
  <w:num w:numId="26">
    <w:abstractNumId w:val="662523"/>
  </w:num>
  <w:num w:numId="27">
    <w:abstractNumId w:val="662524"/>
  </w:num>
  <w:num w:numId="28">
    <w:abstractNumId w:val="662525"/>
  </w:num>
  <w:num w:numId="29">
    <w:abstractNumId w:val="662526"/>
  </w:num>
  <w:num w:numId="30">
    <w:abstractNumId w:val="662527"/>
  </w:num>
  <w:num w:numId="31">
    <w:abstractNumId w:val="662528"/>
  </w:num>
  <w:num w:numId="32">
    <w:abstractNumId w:val="662529"/>
  </w:num>
  <w:num w:numId="33">
    <w:abstractNumId w:val="662530"/>
  </w:num>
  <w:num w:numId="34">
    <w:abstractNumId w:val="662531"/>
  </w:num>
  <w:num w:numId="35">
    <w:abstractNumId w:val="662532"/>
  </w:num>
  <w:num w:numId="36">
    <w:abstractNumId w:val="6625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2026-07-26T08:29:04Z</dcterms:created>
  <dc:creator>Apache POI</dc:creator>
</cp:coreProperties>
</file>