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2.2 提示词与回答的张量化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掌握序列拼接策略</w:t>
            </w:r>
            <w:r>
              <w:rPr>
                <w:rFonts w:eastAsia="等线" w:ascii="Arial" w:cs="Arial" w:hAnsi="Arial"/>
                <w:sz w:val="22"/>
              </w:rPr>
              <w:t>：学习如何正确组合 Prompt 与 Response。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深刻理解偏移（Shift）逻辑</w:t>
            </w:r>
            <w:r>
              <w:rPr>
                <w:rFonts w:eastAsia="等线" w:ascii="Arial" w:cs="Arial" w:hAnsi="Arial"/>
                <w:sz w:val="22"/>
              </w:rPr>
              <w:t>：理清因果语言模型（Causal LM）中输入与标签的对应关系。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实现标签掩码（Label Masking）</w:t>
            </w:r>
            <w:r>
              <w:rPr>
                <w:rFonts w:eastAsia="等线" w:ascii="Arial" w:cs="Arial" w:hAnsi="Arial"/>
                <w:sz w:val="22"/>
              </w:rPr>
              <w:t xml:space="preserve">：掌握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response_mask</w:t>
            </w:r>
            <w:r>
              <w:rPr>
                <w:rFonts w:eastAsia="等线" w:ascii="Arial" w:cs="Arial" w:hAnsi="Arial"/>
                <w:sz w:val="22"/>
              </w:rPr>
              <w:t xml:space="preserve"> 的核心原理，确保模型只为“回答”负责。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处理 Batch 填充（Padding）</w:t>
            </w:r>
            <w:r>
              <w:rPr>
                <w:rFonts w:eastAsia="等线" w:ascii="Arial" w:cs="Arial" w:hAnsi="Arial"/>
                <w:sz w:val="22"/>
              </w:rPr>
              <w:t>：学习如何将变长序列对齐为统一形状的张量。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三种掩码：</w:t>
            </w:r>
            <w:r>
              <w:rPr>
                <w:rFonts w:eastAsia="等线" w:ascii="Arial" w:cs="Arial" w:hAnsi="Arial"/>
                <w:sz w:val="22"/>
              </w:rPr>
              <w:t>因果掩码（Causal Mask）、填充掩码（Padding Mask）和损失掩码（Loss Mask/Label Mask）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核心逻辑：从文本到张量的构建原理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本节的目标是构建符合因果语言模型（Causal LM）训练规范的输入张量。这不仅涉及分词（Tokenization），更涉及对模型学习目标的精确定义。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1. 序列拼接与终止语义边界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SFT 的原始数据通常由“提示词（Prompt）”和“专家回答（Response）”组成。在张量化过程中，我们将二者拼接为单一序列。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终止符（EOS Token）的必要性</w:t>
      </w:r>
      <w:r>
        <w:rPr>
          <w:rFonts w:eastAsia="等线" w:ascii="Arial" w:cs="Arial" w:hAnsi="Arial"/>
          <w:sz w:val="22"/>
        </w:rPr>
        <w:t xml:space="preserve">：在 Response 的末尾，必须显式添加结束标记（如 </w:t>
      </w:r>
      <w:r>
        <w:rPr>
          <w:rFonts w:eastAsia="Consolas" w:ascii="Consolas" w:cs="Consolas" w:hAnsi="Consolas"/>
          <w:sz w:val="22"/>
          <w:shd w:fill="EFF0F1"/>
        </w:rPr>
        <w:t>&lt;|endoftext|&gt;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训练目标</w:t>
      </w:r>
      <w:r>
        <w:rPr>
          <w:rFonts w:eastAsia="等线" w:ascii="Arial" w:cs="Arial" w:hAnsi="Arial"/>
          <w:sz w:val="22"/>
        </w:rPr>
        <w:t>：模型不仅要学习如何生成推理过程，更要学习识别逻辑终点。若缺少终止符，模型在实际推理时将无法主动停止，导致输出冗余或陷入死循环。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2. 自回归属性与错位偏移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因果语言模型遵循自回归原理，即基于历史 Token 序列预测当前的 Token。在数学表达上，模型学习的是条件概率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&lt;t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张量对齐逻辑</w:t>
      </w:r>
      <w:r>
        <w:rPr>
          <w:rFonts w:eastAsia="等线" w:ascii="Arial" w:cs="Arial" w:hAnsi="Arial"/>
          <w:sz w:val="22"/>
        </w:rPr>
        <w:t xml:space="preserve">：为了在一次前向传播中计算整个序列的 Loss，我们需要构造两组长度为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的张量：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Input IDs</w:t>
      </w:r>
      <w:r>
        <w:rPr>
          <w:rFonts w:eastAsia="等线" w:ascii="Arial" w:cs="Arial" w:hAnsi="Arial"/>
          <w:sz w:val="22"/>
        </w:rPr>
        <w:t xml:space="preserve">：取原始拼接序列的前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个 Token（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N−2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）。最后一个 Token 被剔除，因为它没有后续目标可供预测。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Labels</w:t>
      </w:r>
      <w:r>
        <w:rPr>
          <w:rFonts w:eastAsia="等线" w:ascii="Arial" w:cs="Arial" w:hAnsi="Arial"/>
          <w:sz w:val="22"/>
        </w:rPr>
        <w:t xml:space="preserve">：取原始拼接序列的后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N−1</m:t>
          </m:r>
        </m:oMath>
      </m:oMathPara>
      <w:r>
        <w:rPr>
          <w:rFonts w:eastAsia="等线" w:ascii="Arial" w:cs="Arial" w:hAnsi="Arial"/>
          <w:sz w:val="22"/>
        </w:rPr>
        <w:t xml:space="preserve"> 个 Token（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）。第一个 Token 被剔除，因为它作为初始输入，不属于被预测的目标。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偏移本质</w:t>
      </w:r>
      <w:r>
        <w:rPr>
          <w:rFonts w:eastAsia="等线" w:ascii="Arial" w:cs="Arial" w:hAnsi="Arial"/>
          <w:sz w:val="22"/>
        </w:rPr>
        <w:t xml:space="preserve">：这种错位确保了输入张量的第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</m:t>
          </m:r>
        </m:oMath>
      </m:oMathPara>
      <w:r>
        <w:rPr>
          <w:rFonts w:eastAsia="等线" w:ascii="Arial" w:cs="Arial" w:hAnsi="Arial"/>
          <w:sz w:val="22"/>
        </w:rPr>
        <w:t xml:space="preserve"> 个元素，其对应的监督标签正好是序列中的第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i+1</m:t>
          </m:r>
        </m:oMath>
      </m:oMathPara>
      <w:r>
        <w:rPr>
          <w:rFonts w:eastAsia="等线" w:ascii="Arial" w:cs="Arial" w:hAnsi="Arial"/>
          <w:sz w:val="22"/>
        </w:rPr>
        <w:t xml:space="preserve"> 个元素，从而完美契合“预测下一个词”的训练目标。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 xml:space="preserve">3. 标签掩码与梯度贡献分配 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尽管拼接后的序列是一个整体，但并非所有位置的预测错误都应当反馈给模型。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掩码理由</w:t>
      </w:r>
      <w:r>
        <w:rPr>
          <w:rFonts w:eastAsia="等线" w:ascii="Arial" w:cs="Arial" w:hAnsi="Arial"/>
          <w:sz w:val="22"/>
        </w:rPr>
        <w:t>：Prompt 部分是由人类或外部系统提供的背景信息。如果对 Prompt 部分计算交叉熵损失（Loss），模型将分配参数容量去尝试“背诵”问题。这会导致两个严重的工程后果：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参数浪费</w:t>
      </w:r>
      <w:r>
        <w:rPr>
          <w:rFonts w:eastAsia="等线" w:ascii="Arial" w:cs="Arial" w:hAnsi="Arial"/>
          <w:sz w:val="22"/>
        </w:rPr>
        <w:t>：模型应当专注于学习推理逻辑，而非记忆固定的提问方式。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幻觉加剧</w:t>
      </w:r>
      <w:r>
        <w:rPr>
          <w:rFonts w:eastAsia="等线" w:ascii="Arial" w:cs="Arial" w:hAnsi="Arial"/>
          <w:sz w:val="22"/>
        </w:rPr>
        <w:t>：模型可能学会过度拟合特定的提问语气，从而在面对变体提问时表现出泛化性不足，产生无关的输出。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技术方案（Response Mask）</w:t>
      </w:r>
      <w:r>
        <w:rPr>
          <w:rFonts w:eastAsia="等线" w:ascii="Arial" w:cs="Arial" w:hAnsi="Arial"/>
          <w:sz w:val="22"/>
        </w:rPr>
        <w:t xml:space="preserve">：通过引入一个与 Labels 形状一致的布尔型张量（Mask），将 Prompt 部分对应的权重设为 0（或在 Loss 函数中设置 </w:t>
      </w:r>
      <w:r>
        <w:rPr>
          <w:rFonts w:eastAsia="Consolas" w:ascii="Consolas" w:cs="Consolas" w:hAnsi="Consolas"/>
          <w:sz w:val="22"/>
          <w:shd w:fill="EFF0F1"/>
        </w:rPr>
        <w:t>ignore_index=-100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执行效果</w:t>
      </w:r>
      <w:r>
        <w:rPr>
          <w:rFonts w:eastAsia="等线" w:ascii="Arial" w:cs="Arial" w:hAnsi="Arial"/>
          <w:sz w:val="22"/>
        </w:rPr>
        <w:t>：在计算平均损失时，只有 Response 部分的预测准确性会产生有效梯度。这确保了模型仅针对“如何回答问题”进行参数优化，划清了输入背景与学习目标之间的责任界限。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二、 代码实现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tokenize_prompt_and_output(</w:t>
              <w:br/>
              <w:t xml:space="preserve">    prompt_strs: List[str], </w:t>
              <w:br/>
              <w:t xml:space="preserve">    output_strs: List[str], </w:t>
              <w:br/>
              <w:t xml:space="preserve">    tokenizer: PreTrainedTokenizer</w:t>
              <w:br/>
              <w:t>) -&gt; Dict[str, torch.Tensor]:</w:t>
              <w:br/>
              <w:t xml:space="preserve">    """</w:t>
              <w:br/>
              <w:t xml:space="preserve">    对 prompt 和 response 进行分词，拼接，并生成对应的 response_mask。</w:t>
              <w:br/>
              <w:t xml:space="preserve">    """</w:t>
              <w:br/>
              <w:t xml:space="preserve">    all_input_ids = []</w:t>
              <w:br/>
              <w:t xml:space="preserve">    all_response_masks = []</w:t>
              <w:br/>
              <w:t xml:space="preserve">    all_lengths = []</w:t>
              <w:br/>
              <w:br/>
              <w:t xml:space="preserve">    # 1. 编码与拼接</w:t>
              <w:br/>
              <w:t xml:space="preserve">    for p_str, o_str in zip(prompt_strs, output_strs):</w:t>
              <w:br/>
              <w:t xml:space="preserve">        # add_special_tokens=False 是因为我们要手动控制 BOS/EOS 的添加</w:t>
              <w:br/>
              <w:t xml:space="preserve">        p_ids = tokenizer.encode(p_str, add_special_tokens=False)</w:t>
              <w:br/>
              <w:t xml:space="preserve">        o_ids = tokenizer.encode(o_str, add_special_tokens=False)</w:t>
              <w:br/>
              <w:t xml:space="preserve">        </w:t>
              <w:br/>
              <w:t xml:space="preserve">        combined_ids = p_ids + o_ids</w:t>
              <w:br/>
              <w:t xml:space="preserve">        all_input_ids.append(combined_ids)</w:t>
              <w:br/>
              <w:t xml:space="preserve">        all_lengths.append(len(combined_ids))</w:t>
              <w:br/>
              <w:t xml:space="preserve">        </w:t>
              <w:br/>
              <w:t xml:space="preserve">        # 构造初始 mask：Prompt 部分填 0，Response 部分填 1</w:t>
              <w:br/>
              <w:t xml:space="preserve">        mask = [0] * len(p_ids) + [1] * len(o_ids)</w:t>
              <w:br/>
              <w:t xml:space="preserve">        all_response_masks.append(mask)</w:t>
              <w:br/>
              <w:br/>
              <w:t xml:space="preserve">    # 2. 确定 Batch 最大长度用于对齐 (Padding)</w:t>
              <w:br/>
              <w:t xml:space="preserve">    max_len = max(all_lengths)</w:t>
              <w:br/>
              <w:t xml:space="preserve">    batch_size = len(prompt_strs)</w:t>
              <w:br/>
              <w:t xml:space="preserve">    # 优先寻找 pad_token，如果没有（如早期 Llama），则借用 eos_token</w:t>
              <w:br/>
              <w:t xml:space="preserve">    pad_id = tokenizer.pad_token_id if tokenizer.pad_token_id is not None else tokenizer.eos_token_id</w:t>
              <w:br/>
              <w:br/>
              <w:t xml:space="preserve">    # 3. 填充 (Padding) 逻辑</w:t>
              <w:br/>
              <w:t xml:space="preserve">    padded_input_ids = torch.full((batch_size, max_len), pad_id, dtype=torch.long)</w:t>
              <w:br/>
              <w:t xml:space="preserve">    padded_masks = torch.zeros((batch_size, max_len), dtype=torch.long)</w:t>
              <w:br/>
              <w:br/>
              <w:t xml:space="preserve">    for i, (ids, m) in enumerate(zip(all_input_ids, all_response_masks)):</w:t>
              <w:br/>
              <w:t xml:space="preserve">        length = len(ids)</w:t>
              <w:br/>
              <w:t xml:space="preserve">        # 训练时通常使用右填充 (Right Padding)</w:t>
              <w:br/>
              <w:t xml:space="preserve">        padded_input_ids[i, :length] = torch.tensor(ids)</w:t>
              <w:br/>
              <w:t xml:space="preserve">        padded_masks[i, :length] = torch.tensor(m)</w:t>
              <w:br/>
              <w:br/>
              <w:t xml:space="preserve">    # 4. 执行核心 Shift 操作</w:t>
              <w:br/>
              <w:t xml:space="preserve">    # 假设原始序列长度为 N</w:t>
              <w:br/>
              <w:t xml:space="preserve">    # input_ids: 取 [0, N-1]，作为预测的上下文</w:t>
              <w:br/>
              <w:t xml:space="preserve">    final_input_ids = padded_input_ids[:, :-1]</w:t>
              <w:br/>
              <w:t xml:space="preserve">    </w:t>
              <w:br/>
              <w:t xml:space="preserve">    # labels: 取 [1, N]，作为预测的目标</w:t>
              <w:br/>
              <w:t xml:space="preserve">    # .clone() 确保在内存中独立，防止梯度计算异常</w:t>
              <w:br/>
              <w:t xml:space="preserve">    final_labels = padded_input_ids[:, 1:].clone()</w:t>
              <w:br/>
              <w:t xml:space="preserve">    </w:t>
              <w:br/>
              <w:t xml:space="preserve">    # response_mask: 必须对应 labels 的位置，所以也取 [1, N]</w:t>
              <w:br/>
              <w:t xml:space="preserve">    final_response_mask = padded_masks[:, 1:]</w:t>
              <w:br/>
              <w:br/>
              <w:t xml:space="preserve">    return {</w:t>
              <w:br/>
              <w:t xml:space="preserve">        "input_ids": final_input_ids,</w:t>
              <w:br/>
              <w:t xml:space="preserve">        "labels": final_labels,</w:t>
              <w:br/>
              <w:t xml:space="preserve">        "response_mask": final_response_mask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5107">
    <w:lvl>
      <w:start w:val="1"/>
      <w:numFmt w:val="decimal"/>
      <w:suff w:val="tab"/>
      <w:lvlText w:val="%1."/>
      <w:rPr>
        <w:color w:val="3370ff"/>
      </w:rPr>
    </w:lvl>
  </w:abstractNum>
  <w:abstractNum w:abstractNumId="695108">
    <w:lvl>
      <w:start w:val="2"/>
      <w:numFmt w:val="decimal"/>
      <w:suff w:val="tab"/>
      <w:lvlText w:val="%1."/>
      <w:rPr>
        <w:color w:val="3370ff"/>
      </w:rPr>
    </w:lvl>
  </w:abstractNum>
  <w:abstractNum w:abstractNumId="695109">
    <w:lvl>
      <w:start w:val="3"/>
      <w:numFmt w:val="decimal"/>
      <w:suff w:val="tab"/>
      <w:lvlText w:val="%1."/>
      <w:rPr>
        <w:color w:val="3370ff"/>
      </w:rPr>
    </w:lvl>
  </w:abstractNum>
  <w:abstractNum w:abstractNumId="695110">
    <w:lvl>
      <w:start w:val="4"/>
      <w:numFmt w:val="decimal"/>
      <w:suff w:val="tab"/>
      <w:lvlText w:val="%1."/>
      <w:rPr>
        <w:color w:val="3370ff"/>
      </w:rPr>
    </w:lvl>
  </w:abstractNum>
  <w:abstractNum w:abstractNumId="695111">
    <w:lvl>
      <w:start w:val="5"/>
      <w:numFmt w:val="decimal"/>
      <w:suff w:val="tab"/>
      <w:lvlText w:val="%1."/>
      <w:rPr>
        <w:color w:val="3370ff"/>
      </w:rPr>
    </w:lvl>
  </w:abstractNum>
  <w:abstractNum w:abstractNumId="695112">
    <w:lvl>
      <w:numFmt w:val="bullet"/>
      <w:suff w:val="tab"/>
      <w:lvlText w:val="•"/>
      <w:rPr>
        <w:color w:val="3370ff"/>
      </w:rPr>
    </w:lvl>
  </w:abstractNum>
  <w:abstractNum w:abstractNumId="695113">
    <w:lvl>
      <w:numFmt w:val="bullet"/>
      <w:suff w:val="tab"/>
      <w:lvlText w:val="•"/>
      <w:rPr>
        <w:color w:val="3370ff"/>
      </w:rPr>
    </w:lvl>
  </w:abstractNum>
  <w:abstractNum w:abstractNumId="695114">
    <w:lvl>
      <w:numFmt w:val="bullet"/>
      <w:suff w:val="tab"/>
      <w:lvlText w:val="•"/>
      <w:rPr>
        <w:color w:val="3370ff"/>
      </w:rPr>
    </w:lvl>
  </w:abstractNum>
  <w:abstractNum w:abstractNumId="695115">
    <w:lvl>
      <w:numFmt w:val="bullet"/>
      <w:suff w:val="tab"/>
      <w:lvlText w:val="￮"/>
      <w:rPr>
        <w:color w:val="3370ff"/>
      </w:rPr>
    </w:lvl>
  </w:abstractNum>
  <w:abstractNum w:abstractNumId="695116">
    <w:lvl>
      <w:numFmt w:val="bullet"/>
      <w:suff w:val="tab"/>
      <w:lvlText w:val="￮"/>
      <w:rPr>
        <w:color w:val="3370ff"/>
      </w:rPr>
    </w:lvl>
  </w:abstractNum>
  <w:abstractNum w:abstractNumId="695117">
    <w:lvl>
      <w:numFmt w:val="bullet"/>
      <w:suff w:val="tab"/>
      <w:lvlText w:val="•"/>
      <w:rPr>
        <w:color w:val="3370ff"/>
      </w:rPr>
    </w:lvl>
  </w:abstractNum>
  <w:abstractNum w:abstractNumId="695118">
    <w:lvl>
      <w:numFmt w:val="bullet"/>
      <w:suff w:val="tab"/>
      <w:lvlText w:val="•"/>
      <w:rPr>
        <w:color w:val="3370ff"/>
      </w:rPr>
    </w:lvl>
  </w:abstractNum>
  <w:abstractNum w:abstractNumId="695119">
    <w:lvl>
      <w:start w:val="1"/>
      <w:numFmt w:val="lowerLetter"/>
      <w:suff w:val="tab"/>
      <w:lvlText w:val="%1."/>
      <w:rPr>
        <w:color w:val="3370ff"/>
      </w:rPr>
    </w:lvl>
  </w:abstractNum>
  <w:abstractNum w:abstractNumId="695120">
    <w:lvl>
      <w:start w:val="2"/>
      <w:numFmt w:val="lowerLetter"/>
      <w:suff w:val="tab"/>
      <w:lvlText w:val="%1."/>
      <w:rPr>
        <w:color w:val="3370ff"/>
      </w:rPr>
    </w:lvl>
  </w:abstractNum>
  <w:abstractNum w:abstractNumId="695121">
    <w:lvl>
      <w:numFmt w:val="bullet"/>
      <w:suff w:val="tab"/>
      <w:lvlText w:val="•"/>
      <w:rPr>
        <w:color w:val="3370ff"/>
      </w:rPr>
    </w:lvl>
  </w:abstractNum>
  <w:abstractNum w:abstractNumId="695122">
    <w:lvl>
      <w:numFmt w:val="bullet"/>
      <w:suff w:val="tab"/>
      <w:lvlText w:val="•"/>
      <w:rPr>
        <w:color w:val="3370ff"/>
      </w:rPr>
    </w:lvl>
  </w:abstractNum>
  <w:num w:numId="1">
    <w:abstractNumId w:val="695107"/>
  </w:num>
  <w:num w:numId="2">
    <w:abstractNumId w:val="695108"/>
  </w:num>
  <w:num w:numId="3">
    <w:abstractNumId w:val="695109"/>
  </w:num>
  <w:num w:numId="4">
    <w:abstractNumId w:val="695110"/>
  </w:num>
  <w:num w:numId="5">
    <w:abstractNumId w:val="695111"/>
  </w:num>
  <w:num w:numId="6">
    <w:abstractNumId w:val="695112"/>
  </w:num>
  <w:num w:numId="7">
    <w:abstractNumId w:val="695113"/>
  </w:num>
  <w:num w:numId="8">
    <w:abstractNumId w:val="695114"/>
  </w:num>
  <w:num w:numId="9">
    <w:abstractNumId w:val="695115"/>
  </w:num>
  <w:num w:numId="10">
    <w:abstractNumId w:val="695116"/>
  </w:num>
  <w:num w:numId="11">
    <w:abstractNumId w:val="695117"/>
  </w:num>
  <w:num w:numId="12">
    <w:abstractNumId w:val="695118"/>
  </w:num>
  <w:num w:numId="13">
    <w:abstractNumId w:val="695119"/>
  </w:num>
  <w:num w:numId="14">
    <w:abstractNumId w:val="695120"/>
  </w:num>
  <w:num w:numId="15">
    <w:abstractNumId w:val="695121"/>
  </w:num>
  <w:num w:numId="16">
    <w:abstractNumId w:val="6951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2026-07-26T08:29:13Z</dcterms:created>
  <dc:creator>Apache POI</dc:creator>
</cp:coreProperties>
</file>