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2.6 SFT实验分析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观察实验结果，总结结论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wandb实验记录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cs336-sft-gsm8k-raw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: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https://wandb.ai/1615629622/cs336-sft-gsm8k-raw?nw=nwuser1615629622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cs336-grpo-gsm8k-prompt:</w:t>
                  </w:r>
                </w:p>
              </w:tc>
            </w:tr>
          </w:tbl>
          <w:p/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hyperlink r:id="rId5">
                    <w:r>
                      <w:rPr>
                        <w:rFonts w:eastAsia="等线" w:ascii="Arial" w:cs="Arial" w:hAnsi="Arial"/>
                        <w:color w:val="3370ff"/>
                        <w:sz w:val="22"/>
                      </w:rPr>
                      <w:t>https://wandb.ai/1615629622/cs336-grpo-gsm8k-prompt?nw=nwuser1615629622</w:t>
                    </w:r>
                  </w:hyperlink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feead2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个人想法：gsm8k的训练集和测试集很可能已经在预训练数据中了，并且由于预训练数据中也包括了高质量的指令微调数据，所以即使使用的是Base模型，它也会一定程度的指令遵循能力。只不过qwen在预训练中使用的prompt格式和现在我们使用的deepseek的prompt格式不一致，才会导致模型初始时准确率不高（由于format 错误），但在短暂的训练后，即学到正确的输出格式后，准确率会很快增加。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规模效应分析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分析目的</w:t>
      </w:r>
      <w:r>
        <w:rPr>
          <w:rFonts w:eastAsia="等线" w:ascii="Arial" w:cs="Arial" w:hAnsi="Arial"/>
          <w:sz w:val="22"/>
        </w:rPr>
        <w:t>：验证随着训练样本量（128 到 Full）的增加，模型的泛化能力如何演进。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最终性能对比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绘制横轴为“数据集大小”，纵轴为“最终验证集 Accuracy”的曲线。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关键点</w:t>
      </w:r>
      <w:r>
        <w:rPr>
          <w:rFonts w:eastAsia="等线" w:ascii="Arial" w:cs="Arial" w:hAnsi="Arial"/>
          <w:sz w:val="22"/>
        </w:rPr>
        <w:t>：观察是否存在性能收益边际递减的现象。15% 的目标在哪个数据规模下被突破的？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收敛速度分析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对比不同数据规模下，Accuracy 达到一定程度所需的 Step 数。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理论假设</w:t>
      </w:r>
      <w:r>
        <w:rPr>
          <w:rFonts w:eastAsia="等线" w:ascii="Arial" w:cs="Arial" w:hAnsi="Arial"/>
          <w:sz w:val="22"/>
        </w:rPr>
        <w:t>：数据量越大，模型学到的特征越具有泛化性，验证集曲线应更加平滑且后劲更足。</w:t>
      </w:r>
    </w:p>
    <w:tbl>
      <w:tblPr>
        <w:tblW w:w="0" w:type="auto"/>
        <w:tblInd w:w="453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由于数据集简单+模型预训练时学过，即使训练集数量很少，准确率也很快达到上线，且上线一样。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训练稳定性与收敛稳定性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分析目的</w:t>
      </w:r>
      <w:r>
        <w:rPr>
          <w:rFonts w:eastAsia="等线" w:ascii="Arial" w:cs="Arial" w:hAnsi="Arial"/>
          <w:sz w:val="22"/>
        </w:rPr>
        <w:t>：通过 Loss 和 Entropy 监控模型是否在“学逻辑”还是“死记硬背”。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Loss 与 Entropy 的相关性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train/loss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train/response_entropy</w:t>
      </w:r>
      <w:r>
        <w:rPr>
          <w:rFonts w:eastAsia="等线" w:ascii="Arial" w:cs="Arial" w:hAnsi="Arial"/>
          <w:sz w:val="22"/>
        </w:rPr>
        <w:t xml:space="preserve"> 放在同一个时间轴对比。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健康标志</w:t>
      </w:r>
      <w:r>
        <w:rPr>
          <w:rFonts w:eastAsia="等线" w:ascii="Arial" w:cs="Arial" w:hAnsi="Arial"/>
          <w:sz w:val="22"/>
        </w:rPr>
        <w:t>：Loss 下降的同时，Entropy 缓慢平滑下降。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风险标志（过拟合）</w:t>
      </w:r>
      <w:r>
        <w:rPr>
          <w:rFonts w:eastAsia="等线" w:ascii="Arial" w:cs="Arial" w:hAnsi="Arial"/>
          <w:sz w:val="22"/>
        </w:rPr>
        <w:t xml:space="preserve">：如果 </w:t>
      </w:r>
      <w:r>
        <w:rPr>
          <w:rFonts w:eastAsia="Consolas" w:ascii="Consolas" w:cs="Consolas" w:hAnsi="Consolas"/>
          <w:sz w:val="22"/>
          <w:shd w:fill="EFF0F1"/>
        </w:rPr>
        <w:t>response_entropy</w:t>
      </w:r>
      <w:r>
        <w:rPr>
          <w:rFonts w:eastAsia="等线" w:ascii="Arial" w:cs="Arial" w:hAnsi="Arial"/>
          <w:sz w:val="22"/>
        </w:rPr>
        <w:t xml:space="preserve"> 骤降，说明模型发生了模式坍缩，可能在机械地复读 SFT 数据中的特定短语。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Global vs. Response Entropy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对比 </w:t>
      </w:r>
      <w:r>
        <w:rPr>
          <w:rFonts w:eastAsia="Consolas" w:ascii="Consolas" w:cs="Consolas" w:hAnsi="Consolas"/>
          <w:sz w:val="22"/>
          <w:shd w:fill="EFF0F1"/>
        </w:rPr>
        <w:t>global_entropy</w:t>
      </w:r>
      <w:r>
        <w:rPr>
          <w:rFonts w:eastAsia="等线" w:ascii="Arial" w:cs="Arial" w:hAnsi="Arial"/>
          <w:sz w:val="22"/>
        </w:rPr>
        <w:t xml:space="preserve">（对问题的理解）与 </w:t>
      </w:r>
      <w:r>
        <w:rPr>
          <w:rFonts w:eastAsia="Consolas" w:ascii="Consolas" w:cs="Consolas" w:hAnsi="Consolas"/>
          <w:sz w:val="22"/>
          <w:shd w:fill="EFF0F1"/>
        </w:rPr>
        <w:t>response_entropy</w:t>
      </w:r>
      <w:r>
        <w:rPr>
          <w:rFonts w:eastAsia="等线" w:ascii="Arial" w:cs="Arial" w:hAnsi="Arial"/>
          <w:sz w:val="22"/>
        </w:rPr>
        <w:t>（对推理链的生成）。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分析意义</w:t>
      </w:r>
      <w:r>
        <w:rPr>
          <w:rFonts w:eastAsia="等线" w:ascii="Arial" w:cs="Arial" w:hAnsi="Arial"/>
          <w:sz w:val="22"/>
        </w:rPr>
        <w:t xml:space="preserve">：如果 </w:t>
      </w:r>
      <w:r>
        <w:rPr>
          <w:rFonts w:eastAsia="Consolas" w:ascii="Consolas" w:cs="Consolas" w:hAnsi="Consolas"/>
          <w:sz w:val="22"/>
          <w:shd w:fill="EFF0F1"/>
        </w:rPr>
        <w:t>global_entropy</w:t>
      </w:r>
      <w:r>
        <w:rPr>
          <w:rFonts w:eastAsia="等线" w:ascii="Arial" w:cs="Arial" w:hAnsi="Arial"/>
          <w:sz w:val="22"/>
        </w:rPr>
        <w:t xml:space="preserve"> 极低，说明模型对这些数学题型已经过度熟悉（预训练或 SFT 数据污染）；如果 </w:t>
      </w:r>
      <w:r>
        <w:rPr>
          <w:rFonts w:eastAsia="Consolas" w:ascii="Consolas" w:cs="Consolas" w:hAnsi="Consolas"/>
          <w:sz w:val="22"/>
          <w:shd w:fill="EFF0F1"/>
        </w:rPr>
        <w:t>response_entropy</w:t>
      </w:r>
      <w:r>
        <w:rPr>
          <w:rFonts w:eastAsia="等线" w:ascii="Arial" w:cs="Arial" w:hAnsi="Arial"/>
          <w:sz w:val="22"/>
        </w:rPr>
        <w:t xml:space="preserve"> 依然很高但准确率上不去，说明模型“读懂了题，但不会解”。</w:t>
      </w:r>
    </w:p>
    <w:tbl>
      <w:tblPr>
        <w:tblW w:w="0" w:type="auto"/>
        <w:tblInd w:w="453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Loss 与 Entropy 呈相同的下降趋势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Global 和 Response Entropy也呈相同的下降趋势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不同数量的训练集的Loss 与 Entropy 曲线具有明显的规律：数据集越小，在相同的step下 loss和entropy 更低。原因是：对于小数据集，模型训练的过程中可能训练过多次相同的数据，所以更加的确定性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 推理链行为分析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分析目的</w:t>
      </w:r>
      <w:r>
        <w:rPr>
          <w:rFonts w:eastAsia="等线" w:ascii="Arial" w:cs="Arial" w:hAnsi="Arial"/>
          <w:sz w:val="22"/>
        </w:rPr>
        <w:t>：分析“思维链（CoT）”的长度与正确性之间的关系。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长度-准确率相关性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对比 </w:t>
      </w:r>
      <w:r>
        <w:rPr>
          <w:rFonts w:eastAsia="Consolas" w:ascii="Consolas" w:cs="Consolas" w:hAnsi="Consolas"/>
          <w:sz w:val="22"/>
          <w:shd w:fill="EFF0F1"/>
        </w:rPr>
        <w:t>eval/avg_length_correct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eval/avg_length_incorrect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现象分析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Correct</w:t>
      </w:r>
      <w:r>
        <w:rPr>
          <w:rFonts w:eastAsia="等线" w:ascii="Arial" w:cs="Arial" w:hAnsi="Arial"/>
          <w:sz w:val="22"/>
        </w:rPr>
        <w:t>长度足够长：说明模型学到了推理的这个‘格式’。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Consolas" w:ascii="Consolas" w:cs="Consolas" w:hAnsi="Consolas"/>
          <w:sz w:val="22"/>
          <w:shd w:fill="EFF0F1"/>
        </w:rPr>
        <w:t>Incorrect &gt;&gt; Correct</w:t>
      </w:r>
      <w:r>
        <w:rPr>
          <w:rFonts w:eastAsia="等线" w:ascii="Arial" w:cs="Arial" w:hAnsi="Arial"/>
          <w:sz w:val="22"/>
        </w:rPr>
        <w:t>：说明模型在解不出题时容易陷入“复读机”模式（Rambling），生成大量无意义的循环内容。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长度演进趋势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观察 </w:t>
      </w:r>
      <w:r>
        <w:rPr>
          <w:rFonts w:eastAsia="Consolas" w:ascii="Consolas" w:cs="Consolas" w:hAnsi="Consolas"/>
          <w:sz w:val="22"/>
          <w:shd w:fill="EFF0F1"/>
        </w:rPr>
        <w:t>eval/avg_length</w:t>
      </w:r>
      <w:r>
        <w:rPr>
          <w:rFonts w:eastAsia="等线" w:ascii="Arial" w:cs="Arial" w:hAnsi="Arial"/>
          <w:sz w:val="22"/>
        </w:rPr>
        <w:t xml:space="preserve"> 随 Step 的变化。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：模型是变得越来越“干练”（长度缩短），还是学会了更详尽的推导（长度增加）？</w:t>
      </w:r>
    </w:p>
    <w:tbl>
      <w:tblPr>
        <w:tblW w:w="0" w:type="auto"/>
        <w:tblInd w:w="453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各个长度曲线均有一个在较短step内，从高迅速降低的现象，表面模型能够用更简单的推理逻辑解决问题。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avg_length_correct</w:t>
            </w:r>
            <w:r>
              <w:rPr>
                <w:rFonts w:eastAsia="等线" w:ascii="Arial" w:cs="Arial" w:hAnsi="Arial"/>
                <w:sz w:val="22"/>
              </w:rPr>
              <w:t>收敛到260-280，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avg_length</w:t>
            </w:r>
            <w:r>
              <w:rPr>
                <w:rFonts w:eastAsia="等线" w:ascii="Arial" w:cs="Arial" w:hAnsi="Arial"/>
                <w:sz w:val="22"/>
              </w:rPr>
              <w:t>收敛到290-320，足够长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平均情况下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avg_length_incorrect</w:t>
            </w:r>
            <w:r>
              <w:rPr>
                <w:rFonts w:eastAsia="等线" w:ascii="Arial" w:cs="Arial" w:hAnsi="Arial"/>
                <w:sz w:val="22"/>
              </w:rPr>
              <w:t>比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avg_length_correct</w:t>
            </w:r>
            <w:r>
              <w:rPr>
                <w:rFonts w:eastAsia="等线" w:ascii="Arial" w:cs="Arial" w:hAnsi="Arial"/>
                <w:sz w:val="22"/>
              </w:rPr>
              <w:t>大100，个人认为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因为难题需要更多的推理，所以length更大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说明模型在解不出题时容易陷入“复读机”模式（Rambling），生成大量无意义的循环内容。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 格式对齐与验证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分析目的</w:t>
      </w:r>
      <w:r>
        <w:rPr>
          <w:rFonts w:eastAsia="等线" w:ascii="Arial" w:cs="Arial" w:hAnsi="Arial"/>
          <w:sz w:val="22"/>
        </w:rPr>
        <w:t>：评估模型作为 RL 训练“种子选手”的合格程度。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格式成熟度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分析 </w:t>
      </w:r>
      <w:r>
        <w:rPr>
          <w:rFonts w:eastAsia="Consolas" w:ascii="Consolas" w:cs="Consolas" w:hAnsi="Consolas"/>
          <w:sz w:val="22"/>
          <w:shd w:fill="EFF0F1"/>
        </w:rPr>
        <w:t>eval/format_score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关键指标</w:t>
      </w:r>
      <w:r>
        <w:rPr>
          <w:rFonts w:eastAsia="等线" w:ascii="Arial" w:cs="Arial" w:hAnsi="Arial"/>
          <w:sz w:val="22"/>
        </w:rPr>
        <w:t xml:space="preserve">：模型需要多少步才能达到 1.0 的格式分？（即完美输出 </w:t>
      </w:r>
      <w:r>
        <w:rPr>
          <w:rFonts w:eastAsia="Consolas" w:ascii="Consolas" w:cs="Consolas" w:hAnsi="Consolas"/>
          <w:sz w:val="22"/>
          <w:shd w:fill="EFF0F1"/>
        </w:rPr>
        <w:t>&lt;think&gt;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&lt;answer&gt;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：只有格式分接近 1.0 时，</w:t>
      </w:r>
      <w:r>
        <w:rPr>
          <w:rFonts w:eastAsia="Consolas" w:ascii="Consolas" w:cs="Consolas" w:hAnsi="Consolas"/>
          <w:sz w:val="22"/>
          <w:shd w:fill="EFF0F1"/>
        </w:rPr>
        <w:t>answer_score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accuracy</w:t>
      </w:r>
      <w:r>
        <w:rPr>
          <w:rFonts w:eastAsia="等线" w:ascii="Arial" w:cs="Arial" w:hAnsi="Arial"/>
          <w:sz w:val="22"/>
        </w:rPr>
        <w:t xml:space="preserve"> 才具有真实评估价值。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有效解题率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对比 </w:t>
      </w:r>
      <w:r>
        <w:rPr>
          <w:rFonts w:eastAsia="Consolas" w:ascii="Consolas" w:cs="Consolas" w:hAnsi="Consolas"/>
          <w:sz w:val="22"/>
          <w:shd w:fill="EFF0F1"/>
        </w:rPr>
        <w:t>eval/answer_score</w:t>
      </w:r>
      <w:r>
        <w:rPr>
          <w:rFonts w:eastAsia="等线" w:ascii="Arial" w:cs="Arial" w:hAnsi="Arial"/>
          <w:sz w:val="22"/>
        </w:rPr>
        <w:t xml:space="preserve">（解析出的答案正确）与 </w:t>
      </w:r>
      <w:r>
        <w:rPr>
          <w:rFonts w:eastAsia="Consolas" w:ascii="Consolas" w:cs="Consolas" w:hAnsi="Consolas"/>
          <w:sz w:val="22"/>
          <w:shd w:fill="EFF0F1"/>
        </w:rPr>
        <w:t>eval/accuracy</w:t>
      </w:r>
      <w:r>
        <w:rPr>
          <w:rFonts w:eastAsia="等线" w:ascii="Arial" w:cs="Arial" w:hAnsi="Arial"/>
          <w:sz w:val="22"/>
        </w:rPr>
        <w:t>（整题满分）。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 xml:space="preserve">：如果 </w:t>
      </w:r>
      <w:r>
        <w:rPr>
          <w:rFonts w:eastAsia="Consolas" w:ascii="Consolas" w:cs="Consolas" w:hAnsi="Consolas"/>
          <w:sz w:val="22"/>
          <w:shd w:fill="EFF0F1"/>
        </w:rPr>
        <w:t>answer_score</w:t>
      </w:r>
      <w:r>
        <w:rPr>
          <w:rFonts w:eastAsia="等线" w:ascii="Arial" w:cs="Arial" w:hAnsi="Arial"/>
          <w:sz w:val="22"/>
        </w:rPr>
        <w:t xml:space="preserve"> 显著高于 </w:t>
      </w:r>
      <w:r>
        <w:rPr>
          <w:rFonts w:eastAsia="Consolas" w:ascii="Consolas" w:cs="Consolas" w:hAnsi="Consolas"/>
          <w:sz w:val="22"/>
          <w:shd w:fill="EFF0F1"/>
        </w:rPr>
        <w:t>accuracy</w:t>
      </w:r>
      <w:r>
        <w:rPr>
          <w:rFonts w:eastAsia="等线" w:ascii="Arial" w:cs="Arial" w:hAnsi="Arial"/>
          <w:sz w:val="22"/>
        </w:rPr>
        <w:t>，说明模型算对了结果，但在推理格式或其他强制约束上失分。</w:t>
      </w:r>
    </w:p>
    <w:tbl>
      <w:tblPr>
        <w:tblW w:w="0" w:type="auto"/>
        <w:tblInd w:w="453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format_score</w:t>
            </w:r>
            <w:r>
              <w:rPr>
                <w:rFonts w:eastAsia="等线" w:ascii="Arial" w:cs="Arial" w:hAnsi="Arial"/>
                <w:sz w:val="22"/>
              </w:rPr>
              <w:t>提升很快，迅速收敛到98%+，说明sft学格式的效果很好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accuracy</w:t>
            </w:r>
            <w:r>
              <w:rPr>
                <w:rFonts w:eastAsia="等线" w:ascii="Arial" w:cs="Arial" w:hAnsi="Arial"/>
                <w:sz w:val="22"/>
              </w:rPr>
              <w:t>曲线斜率与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format_score</w:t>
            </w:r>
            <w:r>
              <w:rPr>
                <w:rFonts w:eastAsia="等线" w:ascii="Arial" w:cs="Arial" w:hAnsi="Arial"/>
                <w:sz w:val="22"/>
              </w:rPr>
              <w:t>基本一致，说明模型的一开始准确率低的主要原因是格式不对导致0分（奖励函数规则是格式不对，不论答案正确与否，均为0分），在学会正确格式后能够迅速提分。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format</w:t>
            </w:r>
            <w:r>
              <w:rPr>
                <w:rFonts w:eastAsia="等线" w:ascii="Arial" w:cs="Arial" w:hAnsi="Arial"/>
                <w:sz w:val="22"/>
              </w:rPr>
              <w:t xml:space="preserve"> 错误的输出可能是由于 模型胡言乱语（step184-8）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answer_score</w:t>
            </w:r>
            <w:r>
              <w:rPr>
                <w:rFonts w:eastAsia="等线" w:ascii="Arial" w:cs="Arial" w:hAnsi="Arial"/>
                <w:sz w:val="22"/>
              </w:rPr>
              <w:t>与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accuracy</w:t>
            </w:r>
            <w:r>
              <w:rPr>
                <w:rFonts w:eastAsia="等线" w:ascii="Arial" w:cs="Arial" w:hAnsi="Arial"/>
                <w:sz w:val="22"/>
              </w:rPr>
              <w:t>基本完全一样，这是由于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format_score</w:t>
            </w:r>
            <w:r>
              <w:rPr>
                <w:rFonts w:eastAsia="等线" w:ascii="Arial" w:cs="Arial" w:hAnsi="Arial"/>
                <w:sz w:val="22"/>
              </w:rPr>
              <w:t>太高了，基本格式均正确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9098">
    <w:lvl>
      <w:numFmt w:val="bullet"/>
      <w:suff w:val="tab"/>
      <w:lvlText w:val="•"/>
      <w:rPr>
        <w:color w:val="3370ff"/>
      </w:rPr>
    </w:lvl>
  </w:abstractNum>
  <w:abstractNum w:abstractNumId="139099">
    <w:lvl>
      <w:start w:val="1"/>
      <w:numFmt w:val="decimal"/>
      <w:suff w:val="tab"/>
      <w:lvlText w:val="%1."/>
      <w:rPr>
        <w:color w:val="3370ff"/>
      </w:rPr>
    </w:lvl>
  </w:abstractNum>
  <w:abstractNum w:abstractNumId="139100">
    <w:lvl>
      <w:numFmt w:val="bullet"/>
      <w:suff w:val="tab"/>
      <w:lvlText w:val="￮"/>
      <w:rPr>
        <w:color w:val="3370ff"/>
      </w:rPr>
    </w:lvl>
  </w:abstractNum>
  <w:abstractNum w:abstractNumId="139101">
    <w:lvl>
      <w:numFmt w:val="bullet"/>
      <w:suff w:val="tab"/>
      <w:lvlText w:val="￮"/>
      <w:rPr>
        <w:color w:val="3370ff"/>
      </w:rPr>
    </w:lvl>
  </w:abstractNum>
  <w:abstractNum w:abstractNumId="139102">
    <w:lvl>
      <w:start w:val="2"/>
      <w:numFmt w:val="decimal"/>
      <w:suff w:val="tab"/>
      <w:lvlText w:val="%1."/>
      <w:rPr>
        <w:color w:val="3370ff"/>
      </w:rPr>
    </w:lvl>
  </w:abstractNum>
  <w:abstractNum w:abstractNumId="139103">
    <w:lvl>
      <w:numFmt w:val="bullet"/>
      <w:suff w:val="tab"/>
      <w:lvlText w:val="￮"/>
      <w:rPr>
        <w:color w:val="3370ff"/>
      </w:rPr>
    </w:lvl>
  </w:abstractNum>
  <w:abstractNum w:abstractNumId="139104">
    <w:lvl>
      <w:numFmt w:val="bullet"/>
      <w:suff w:val="tab"/>
      <w:lvlText w:val="￮"/>
      <w:rPr>
        <w:color w:val="3370ff"/>
      </w:rPr>
    </w:lvl>
  </w:abstractNum>
  <w:abstractNum w:abstractNumId="139105">
    <w:lvl>
      <w:start w:val="1"/>
      <w:numFmt w:val="decimal"/>
      <w:suff w:val="tab"/>
      <w:lvlText w:val="%1."/>
      <w:rPr>
        <w:color w:val="3370ff"/>
      </w:rPr>
    </w:lvl>
  </w:abstractNum>
  <w:abstractNum w:abstractNumId="139106">
    <w:lvl>
      <w:numFmt w:val="bullet"/>
      <w:suff w:val="tab"/>
      <w:lvlText w:val="￮"/>
      <w:rPr>
        <w:color w:val="3370ff"/>
      </w:rPr>
    </w:lvl>
  </w:abstractNum>
  <w:abstractNum w:abstractNumId="139107">
    <w:lvl>
      <w:numFmt w:val="bullet"/>
      <w:suff w:val="tab"/>
      <w:lvlText w:val="￮"/>
      <w:rPr>
        <w:color w:val="3370ff"/>
      </w:rPr>
    </w:lvl>
  </w:abstractNum>
  <w:abstractNum w:abstractNumId="139108">
    <w:lvl>
      <w:numFmt w:val="bullet"/>
      <w:suff w:val="tab"/>
      <w:lvlText w:val="￮"/>
      <w:rPr>
        <w:color w:val="3370ff"/>
      </w:rPr>
    </w:lvl>
  </w:abstractNum>
  <w:abstractNum w:abstractNumId="139109">
    <w:lvl>
      <w:start w:val="2"/>
      <w:numFmt w:val="decimal"/>
      <w:suff w:val="tab"/>
      <w:lvlText w:val="%1."/>
      <w:rPr>
        <w:color w:val="3370ff"/>
      </w:rPr>
    </w:lvl>
  </w:abstractNum>
  <w:abstractNum w:abstractNumId="139110">
    <w:lvl>
      <w:numFmt w:val="bullet"/>
      <w:suff w:val="tab"/>
      <w:lvlText w:val="￮"/>
      <w:rPr>
        <w:color w:val="3370ff"/>
      </w:rPr>
    </w:lvl>
  </w:abstractNum>
  <w:abstractNum w:abstractNumId="139111">
    <w:lvl>
      <w:numFmt w:val="bullet"/>
      <w:suff w:val="tab"/>
      <w:lvlText w:val="￮"/>
      <w:rPr>
        <w:color w:val="3370ff"/>
      </w:rPr>
    </w:lvl>
  </w:abstractNum>
  <w:abstractNum w:abstractNumId="139112">
    <w:lvl>
      <w:start w:val="1"/>
      <w:numFmt w:val="decimal"/>
      <w:suff w:val="tab"/>
      <w:lvlText w:val="%1."/>
      <w:rPr>
        <w:color w:val="3370ff"/>
      </w:rPr>
    </w:lvl>
  </w:abstractNum>
  <w:abstractNum w:abstractNumId="139113">
    <w:lvl>
      <w:start w:val="2"/>
      <w:numFmt w:val="decimal"/>
      <w:suff w:val="tab"/>
      <w:lvlText w:val="%1."/>
      <w:rPr>
        <w:color w:val="3370ff"/>
      </w:rPr>
    </w:lvl>
  </w:abstractNum>
  <w:abstractNum w:abstractNumId="139114">
    <w:lvl>
      <w:start w:val="3"/>
      <w:numFmt w:val="decimal"/>
      <w:suff w:val="tab"/>
      <w:lvlText w:val="%1."/>
      <w:rPr>
        <w:color w:val="3370ff"/>
      </w:rPr>
    </w:lvl>
  </w:abstractNum>
  <w:abstractNum w:abstractNumId="139115">
    <w:lvl>
      <w:start w:val="1"/>
      <w:numFmt w:val="decimal"/>
      <w:suff w:val="tab"/>
      <w:lvlText w:val="%1."/>
      <w:rPr>
        <w:color w:val="3370ff"/>
      </w:rPr>
    </w:lvl>
  </w:abstractNum>
  <w:abstractNum w:abstractNumId="139116">
    <w:lvl>
      <w:numFmt w:val="bullet"/>
      <w:suff w:val="tab"/>
      <w:lvlText w:val="￮"/>
      <w:rPr>
        <w:color w:val="3370ff"/>
      </w:rPr>
    </w:lvl>
  </w:abstractNum>
  <w:abstractNum w:abstractNumId="139117">
    <w:lvl>
      <w:numFmt w:val="bullet"/>
      <w:suff w:val="tab"/>
      <w:lvlText w:val="￮"/>
      <w:rPr>
        <w:color w:val="3370ff"/>
      </w:rPr>
    </w:lvl>
  </w:abstractNum>
  <w:abstractNum w:abstractNumId="139118">
    <w:lvl>
      <w:numFmt w:val="bullet"/>
      <w:suff w:val="tab"/>
      <w:lvlText w:val="▪"/>
      <w:rPr>
        <w:color w:val="3370ff"/>
        <w:sz w:val="11"/>
      </w:rPr>
    </w:lvl>
  </w:abstractNum>
  <w:abstractNum w:abstractNumId="139119">
    <w:lvl>
      <w:numFmt w:val="bullet"/>
      <w:suff w:val="tab"/>
      <w:lvlText w:val="▪"/>
      <w:rPr>
        <w:color w:val="3370ff"/>
        <w:sz w:val="11"/>
      </w:rPr>
    </w:lvl>
  </w:abstractNum>
  <w:abstractNum w:abstractNumId="139120">
    <w:lvl>
      <w:start w:val="2"/>
      <w:numFmt w:val="decimal"/>
      <w:suff w:val="tab"/>
      <w:lvlText w:val="%1."/>
      <w:rPr>
        <w:color w:val="3370ff"/>
      </w:rPr>
    </w:lvl>
  </w:abstractNum>
  <w:abstractNum w:abstractNumId="139121">
    <w:lvl>
      <w:numFmt w:val="bullet"/>
      <w:suff w:val="tab"/>
      <w:lvlText w:val="￮"/>
      <w:rPr>
        <w:color w:val="3370ff"/>
      </w:rPr>
    </w:lvl>
  </w:abstractNum>
  <w:abstractNum w:abstractNumId="139122">
    <w:lvl>
      <w:numFmt w:val="bullet"/>
      <w:suff w:val="tab"/>
      <w:lvlText w:val="￮"/>
      <w:rPr>
        <w:color w:val="3370ff"/>
      </w:rPr>
    </w:lvl>
  </w:abstractNum>
  <w:abstractNum w:abstractNumId="139123">
    <w:lvl>
      <w:start w:val="1"/>
      <w:numFmt w:val="decimal"/>
      <w:suff w:val="tab"/>
      <w:lvlText w:val="%1."/>
      <w:rPr>
        <w:color w:val="3370ff"/>
      </w:rPr>
    </w:lvl>
  </w:abstractNum>
  <w:abstractNum w:abstractNumId="139124">
    <w:lvl>
      <w:start w:val="2"/>
      <w:numFmt w:val="decimal"/>
      <w:suff w:val="tab"/>
      <w:lvlText w:val="%1."/>
      <w:rPr>
        <w:color w:val="3370ff"/>
      </w:rPr>
    </w:lvl>
  </w:abstractNum>
  <w:abstractNum w:abstractNumId="139125">
    <w:lvl>
      <w:start w:val="3"/>
      <w:numFmt w:val="decimal"/>
      <w:suff w:val="tab"/>
      <w:lvlText w:val="%1."/>
      <w:rPr>
        <w:color w:val="3370ff"/>
      </w:rPr>
    </w:lvl>
  </w:abstractNum>
  <w:abstractNum w:abstractNumId="139126">
    <w:lvl>
      <w:start w:val="1"/>
      <w:numFmt w:val="lowerLetter"/>
      <w:suff w:val="tab"/>
      <w:lvlText w:val="%1."/>
      <w:rPr>
        <w:color w:val="3370ff"/>
      </w:rPr>
    </w:lvl>
  </w:abstractNum>
  <w:abstractNum w:abstractNumId="139127">
    <w:lvl>
      <w:start w:val="2"/>
      <w:numFmt w:val="lowerLetter"/>
      <w:suff w:val="tab"/>
      <w:lvlText w:val="%1."/>
      <w:rPr>
        <w:color w:val="3370ff"/>
      </w:rPr>
    </w:lvl>
  </w:abstractNum>
  <w:abstractNum w:abstractNumId="139128">
    <w:lvl>
      <w:start w:val="1"/>
      <w:numFmt w:val="decimal"/>
      <w:suff w:val="tab"/>
      <w:lvlText w:val="%1."/>
      <w:rPr>
        <w:color w:val="3370ff"/>
      </w:rPr>
    </w:lvl>
  </w:abstractNum>
  <w:abstractNum w:abstractNumId="139129">
    <w:lvl>
      <w:numFmt w:val="bullet"/>
      <w:suff w:val="tab"/>
      <w:lvlText w:val="￮"/>
      <w:rPr>
        <w:color w:val="3370ff"/>
      </w:rPr>
    </w:lvl>
  </w:abstractNum>
  <w:abstractNum w:abstractNumId="139130">
    <w:lvl>
      <w:numFmt w:val="bullet"/>
      <w:suff w:val="tab"/>
      <w:lvlText w:val="￮"/>
      <w:rPr>
        <w:color w:val="3370ff"/>
      </w:rPr>
    </w:lvl>
  </w:abstractNum>
  <w:abstractNum w:abstractNumId="139131">
    <w:lvl>
      <w:numFmt w:val="bullet"/>
      <w:suff w:val="tab"/>
      <w:lvlText w:val="￮"/>
      <w:rPr>
        <w:color w:val="3370ff"/>
      </w:rPr>
    </w:lvl>
  </w:abstractNum>
  <w:abstractNum w:abstractNumId="139132">
    <w:lvl>
      <w:start w:val="2"/>
      <w:numFmt w:val="decimal"/>
      <w:suff w:val="tab"/>
      <w:lvlText w:val="%1."/>
      <w:rPr>
        <w:color w:val="3370ff"/>
      </w:rPr>
    </w:lvl>
  </w:abstractNum>
  <w:abstractNum w:abstractNumId="139133">
    <w:lvl>
      <w:numFmt w:val="bullet"/>
      <w:suff w:val="tab"/>
      <w:lvlText w:val="￮"/>
      <w:rPr>
        <w:color w:val="3370ff"/>
      </w:rPr>
    </w:lvl>
  </w:abstractNum>
  <w:abstractNum w:abstractNumId="139134">
    <w:lvl>
      <w:numFmt w:val="bullet"/>
      <w:suff w:val="tab"/>
      <w:lvlText w:val="￮"/>
      <w:rPr>
        <w:color w:val="3370ff"/>
      </w:rPr>
    </w:lvl>
  </w:abstractNum>
  <w:abstractNum w:abstractNumId="139135">
    <w:lvl>
      <w:start w:val="1"/>
      <w:numFmt w:val="decimal"/>
      <w:suff w:val="tab"/>
      <w:lvlText w:val="%1."/>
      <w:rPr>
        <w:color w:val="3370ff"/>
      </w:rPr>
    </w:lvl>
  </w:abstractNum>
  <w:abstractNum w:abstractNumId="139136">
    <w:lvl>
      <w:start w:val="2"/>
      <w:numFmt w:val="decimal"/>
      <w:suff w:val="tab"/>
      <w:lvlText w:val="%1."/>
      <w:rPr>
        <w:color w:val="3370ff"/>
      </w:rPr>
    </w:lvl>
  </w:abstractNum>
  <w:abstractNum w:abstractNumId="139137">
    <w:lvl>
      <w:start w:val="3"/>
      <w:numFmt w:val="decimal"/>
      <w:suff w:val="tab"/>
      <w:lvlText w:val="%1."/>
      <w:rPr>
        <w:color w:val="3370ff"/>
      </w:rPr>
    </w:lvl>
  </w:abstractNum>
  <w:abstractNum w:abstractNumId="139138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39098"/>
  </w:num>
  <w:num w:numId="2">
    <w:abstractNumId w:val="139099"/>
  </w:num>
  <w:num w:numId="3">
    <w:abstractNumId w:val="139100"/>
  </w:num>
  <w:num w:numId="4">
    <w:abstractNumId w:val="139101"/>
  </w:num>
  <w:num w:numId="5">
    <w:abstractNumId w:val="139102"/>
  </w:num>
  <w:num w:numId="6">
    <w:abstractNumId w:val="139103"/>
  </w:num>
  <w:num w:numId="7">
    <w:abstractNumId w:val="139104"/>
  </w:num>
  <w:num w:numId="8">
    <w:abstractNumId w:val="139105"/>
  </w:num>
  <w:num w:numId="9">
    <w:abstractNumId w:val="139106"/>
  </w:num>
  <w:num w:numId="10">
    <w:abstractNumId w:val="139107"/>
  </w:num>
  <w:num w:numId="11">
    <w:abstractNumId w:val="139108"/>
  </w:num>
  <w:num w:numId="12">
    <w:abstractNumId w:val="139109"/>
  </w:num>
  <w:num w:numId="13">
    <w:abstractNumId w:val="139110"/>
  </w:num>
  <w:num w:numId="14">
    <w:abstractNumId w:val="139111"/>
  </w:num>
  <w:num w:numId="15">
    <w:abstractNumId w:val="139112"/>
  </w:num>
  <w:num w:numId="16">
    <w:abstractNumId w:val="139113"/>
  </w:num>
  <w:num w:numId="17">
    <w:abstractNumId w:val="139114"/>
  </w:num>
  <w:num w:numId="18">
    <w:abstractNumId w:val="139115"/>
  </w:num>
  <w:num w:numId="19">
    <w:abstractNumId w:val="139116"/>
  </w:num>
  <w:num w:numId="20">
    <w:abstractNumId w:val="139117"/>
  </w:num>
  <w:num w:numId="21">
    <w:abstractNumId w:val="139118"/>
  </w:num>
  <w:num w:numId="22">
    <w:abstractNumId w:val="139119"/>
  </w:num>
  <w:num w:numId="23">
    <w:abstractNumId w:val="139120"/>
  </w:num>
  <w:num w:numId="24">
    <w:abstractNumId w:val="139121"/>
  </w:num>
  <w:num w:numId="25">
    <w:abstractNumId w:val="139122"/>
  </w:num>
  <w:num w:numId="26">
    <w:abstractNumId w:val="139123"/>
  </w:num>
  <w:num w:numId="27">
    <w:abstractNumId w:val="139124"/>
  </w:num>
  <w:num w:numId="28">
    <w:abstractNumId w:val="139125"/>
  </w:num>
  <w:num w:numId="29">
    <w:abstractNumId w:val="139126"/>
  </w:num>
  <w:num w:numId="30">
    <w:abstractNumId w:val="139127"/>
  </w:num>
  <w:num w:numId="31">
    <w:abstractNumId w:val="139128"/>
  </w:num>
  <w:num w:numId="32">
    <w:abstractNumId w:val="139129"/>
  </w:num>
  <w:num w:numId="33">
    <w:abstractNumId w:val="139130"/>
  </w:num>
  <w:num w:numId="34">
    <w:abstractNumId w:val="139131"/>
  </w:num>
  <w:num w:numId="35">
    <w:abstractNumId w:val="139132"/>
  </w:num>
  <w:num w:numId="36">
    <w:abstractNumId w:val="139133"/>
  </w:num>
  <w:num w:numId="37">
    <w:abstractNumId w:val="139134"/>
  </w:num>
  <w:num w:numId="38">
    <w:abstractNumId w:val="139135"/>
  </w:num>
  <w:num w:numId="39">
    <w:abstractNumId w:val="139136"/>
  </w:num>
  <w:num w:numId="40">
    <w:abstractNumId w:val="139137"/>
  </w:num>
  <w:num w:numId="41">
    <w:abstractNumId w:val="1391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wandb.ai/1615629622/cs336-grpo-gsm8k-prompt?nw=nwuser1615629622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2026-07-26T08:29:22Z</dcterms:created>
  <dc:creator>Apache POI</dc:creator>
</cp:coreProperties>
</file>