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3.2 EI实验分析</w:t>
      </w:r>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d9f5d6"/>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本节目标：</w:t>
            </w:r>
          </w:p>
          <w:p>
            <w:pPr>
              <w:numPr>
                <w:numId w:val="1"/>
              </w:numPr>
              <w:spacing w:before="120" w:after="120" w:line="288" w:lineRule="auto"/>
              <w:ind w:left="0"/>
              <w:jc w:val="left"/>
            </w:pPr>
            <w:r>
              <w:rPr>
                <w:rFonts w:eastAsia="等线" w:ascii="Arial" w:cs="Arial" w:hAnsi="Arial"/>
                <w:sz w:val="22"/>
              </w:rPr>
              <w:t>观察实验结果，总结结论</w:t>
            </w:r>
          </w:p>
        </w:tc>
      </w:tr>
    </w:tbl>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3761"/>
        <w:gridCol w:w="4518"/>
      </w:tblGrid>
      <w:tr>
        <w:tc>
          <w:tcPr>
            <w:tcW w:w="3761" w:type="dxa"/>
            <w:tcMar>
              <w:top w:type="dxa" w:w="60"/>
              <w:left w:type="dxa" w:w="120"/>
              <w:bottom w:type="dxa" w:w="30"/>
              <w:right w:type="dxa" w:w="120"/>
            </w:tcMar>
          </w:tcPr>
          <w:tbl>
            <w:tblPr>
              <w:tblW w:w="0" w:type="auto"/>
              <w:tblInd w:w="0" w:type="dxa"/>
              <w:tblBorders>
                <w:top w:val="single"/>
                <w:left w:val="single"/>
                <w:bottom w:val="single"/>
                <w:right w:val="single"/>
                <w:insideH w:val="single"/>
                <w:insideV w:val="single"/>
              </w:tblBorders>
              <w:tblLayout w:type="fixed"/>
            </w:tblPr>
            <w:tblGrid>
              <w:gridCol w:w="3521"/>
            </w:tblGrid>
            <w:tr>
              <w:tc>
                <w:tcPr>
                  <w:tcW w:w="3521"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wandb实验记录</w:t>
                  </w:r>
                </w:p>
                <w:p>
                  <w:pPr>
                    <w:spacing w:before="120" w:after="120" w:line="288" w:lineRule="auto"/>
                    <w:ind w:left="0"/>
                    <w:jc w:val="left"/>
                  </w:pPr>
                  <w:r>
                    <w:rPr>
                      <w:rFonts w:eastAsia="等线" w:ascii="Arial" w:cs="Arial" w:hAnsi="Arial"/>
                      <w:color w:val="646a73"/>
                      <w:sz w:val="22"/>
                    </w:rPr>
                    <w:t>cs336-ei-gsm8k_raw</w:t>
                  </w:r>
                  <w:r>
                    <w:rPr>
                      <w:rFonts w:eastAsia="等线" w:ascii="Arial" w:cs="Arial" w:hAnsi="Arial"/>
                      <w:color w:val="646a73"/>
                      <w:sz w:val="22"/>
                    </w:rPr>
                    <w:t>:</w:t>
                  </w:r>
                </w:p>
                <w:p>
                  <w:pPr>
                    <w:spacing w:before="120" w:after="120" w:line="288" w:lineRule="auto"/>
                    <w:ind w:left="0"/>
                    <w:jc w:val="left"/>
                  </w:pPr>
                  <w:r>
                    <w:rPr>
                      <w:rFonts w:eastAsia="等线" w:ascii="Arial" w:cs="Arial" w:hAnsi="Arial"/>
                      <w:color w:val="646a73"/>
                      <w:sz w:val="22"/>
                    </w:rPr>
                    <w:t>https://wandb.ai/1615629622/cs336-ei-gsm8k_raw?nw=nwuser1615629622</w:t>
                  </w:r>
                </w:p>
                <w:p>
                  <w:pPr>
                    <w:spacing w:before="120" w:after="120" w:line="288" w:lineRule="auto"/>
                    <w:ind w:left="0"/>
                    <w:jc w:val="left"/>
                  </w:pPr>
                  <w:r>
                    <w:rPr>
                      <w:rFonts w:eastAsia="等线" w:ascii="Arial" w:cs="Arial" w:hAnsi="Arial"/>
                      <w:color w:val="646a73"/>
                      <w:sz w:val="22"/>
                    </w:rPr>
                    <w:t>cs336-ei-math12k_raw</w:t>
                  </w:r>
                </w:p>
              </w:tc>
            </w:tr>
          </w:tbl>
          <w:p/>
          <w:tbl>
            <w:tblPr>
              <w:tblW w:w="0" w:type="auto"/>
              <w:tblInd w:w="0" w:type="dxa"/>
              <w:tblBorders>
                <w:top w:val="single"/>
                <w:left w:val="single"/>
                <w:bottom w:val="single"/>
                <w:right w:val="single"/>
                <w:insideH w:val="single"/>
                <w:insideV w:val="single"/>
              </w:tblBorders>
              <w:tblLayout w:type="fixed"/>
            </w:tblPr>
            <w:tblGrid>
              <w:gridCol w:w="3521"/>
            </w:tblGrid>
            <w:tr>
              <w:tc>
                <w:tcPr>
                  <w:tcW w:w="3521"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https://wandb.ai/1615629622/cs336-ei-math12k_raw?nw=nwuser1615629622</w:t>
                  </w:r>
                </w:p>
              </w:tc>
            </w:tr>
          </w:tbl>
          <w:p>
            <w:pPr>
              <w:spacing w:before="120" w:after="120" w:line="288" w:lineRule="auto"/>
              <w:ind w:left="0"/>
              <w:jc w:val="left"/>
            </w:pPr>
          </w:p>
        </w:tc>
        <w:tc>
          <w:tcPr>
            <w:tcW w:w="4518"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4278"/>
            </w:tblGrid>
            <w:tr>
              <w:tc>
                <w:tcPr>
                  <w:tcW w:w="4278" w:type="dxa"/>
                  <w:shd w:color="auto" w:val="clear" w:fill="feead2"/>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个人想法：EI在本质上只是重复学自己会的内容，无法从自己做错的数据上吸取经验。</w:t>
                  </w:r>
                </w:p>
              </w:tc>
            </w:tr>
          </w:tbl>
          <w:p/>
        </w:tc>
      </w:tr>
    </w:tbl>
    <w:p>
      <w:pPr>
        <w:pStyle w:val="3"/>
        <w:spacing w:before="300" w:after="120" w:line="288" w:lineRule="auto"/>
        <w:ind w:left="0"/>
        <w:jc w:val="left"/>
        <w:outlineLvl w:val="2"/>
      </w:pPr>
      <w:bookmarkStart w:name="heading_0" w:id="0"/>
      <w:r>
        <w:rPr>
          <w:rFonts w:eastAsia="等线" w:ascii="Arial" w:cs="Arial" w:hAnsi="Arial"/>
          <w:b w:val="true"/>
          <w:sz w:val="30"/>
        </w:rPr>
        <w:t>变量定义</w:t>
      </w:r>
      <w:bookmarkEnd w:id="0"/>
    </w:p>
    <w:p>
      <w:pPr>
        <w:spacing w:before="120" w:after="120" w:line="288" w:lineRule="auto"/>
        <w:ind w:left="0"/>
        <w:jc w:val="left"/>
      </w:pPr>
      <w:r>
        <w:rPr>
          <w:rFonts w:eastAsia="等线" w:ascii="Arial" w:cs="Arial" w:hAnsi="Arial"/>
          <w:sz w:val="22"/>
        </w:rPr>
        <w:t xml:space="preserve">在你的配置 </w:t>
      </w:r>
      <w:r>
        <w:rPr>
          <w:rFonts w:eastAsia="Consolas" w:ascii="Consolas" w:cs="Consolas" w:hAnsi="Consolas"/>
          <w:sz w:val="22"/>
          <w:shd w:fill="EFF0F1"/>
        </w:rPr>
        <w:t>G:Db:Epoch</w:t>
      </w:r>
      <w:r>
        <w:rPr>
          <w:rFonts w:eastAsia="等线" w:ascii="Arial" w:cs="Arial" w:hAnsi="Arial"/>
          <w:sz w:val="22"/>
        </w:rPr>
        <w:t xml:space="preserve"> 中：</w:t>
      </w:r>
    </w:p>
    <w:p>
      <w:pPr>
        <w:numPr>
          <w:numId w:val="2"/>
        </w:numPr>
        <w:spacing w:before="120" w:after="120" w:line="288" w:lineRule="auto"/>
        <w:ind w:left="0"/>
        <w:jc w:val="left"/>
      </w:pPr>
      <w:r>
        <w:rPr>
          <w:rFonts w:eastAsia="等线" w:ascii="Arial" w:cs="Arial" w:hAnsi="Arial"/>
          <w:b w:val="true"/>
          <w:sz w:val="22"/>
        </w:rPr>
      </w:r>
      <m:oMathPara>
        <m:oMathParaPr>
          <m:jc m:val="left"/>
        </m:oMathParaPr>
        <m:oMath xmlns:mml="http://www.w3.org/1998/Math/MathML">
          <m:r>
            <w:rPr>
              <w:rFonts w:ascii="Cambria Math" w:hAnsi="Cambria Math"/>
            </w:rPr>
            <m:t>G</m:t>
          </m:r>
        </m:oMath>
      </m:oMathPara>
      <w:r>
        <w:rPr>
          <w:rFonts w:eastAsia="等线" w:ascii="Arial" w:cs="Arial" w:hAnsi="Arial"/>
          <w:b w:val="true"/>
          <w:sz w:val="22"/>
        </w:rPr>
        <w:t xml:space="preserve"> (Rollouts)</w:t>
      </w:r>
      <w:r>
        <w:rPr>
          <w:rFonts w:eastAsia="等线" w:ascii="Arial" w:cs="Arial" w:hAnsi="Arial"/>
          <w:sz w:val="22"/>
        </w:rPr>
        <w:t>：代表对每个问题的</w:t>
      </w:r>
      <w:r>
        <w:rPr>
          <w:rFonts w:eastAsia="等线" w:ascii="Arial" w:cs="Arial" w:hAnsi="Arial"/>
          <w:b w:val="true"/>
          <w:sz w:val="22"/>
        </w:rPr>
        <w:t>探索深度</w:t>
      </w:r>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 xml:space="preserve"> 越大，模型“蒙对”正确答案并获得专家样本的机会越多。</w:t>
      </w:r>
    </w:p>
    <w:p>
      <w:pPr>
        <w:numPr>
          <w:numId w:val="3"/>
        </w:numPr>
        <w:spacing w:before="120" w:after="120" w:line="288" w:lineRule="auto"/>
        <w:ind w:left="0"/>
        <w:jc w:val="left"/>
      </w:pPr>
      <w:r>
        <w:rPr>
          <w:rFonts w:eastAsia="等线" w:ascii="Arial" w:cs="Arial" w:hAnsi="Arial"/>
          <w:b w:val="true"/>
          <w:sz w:val="22"/>
        </w:rPr>
      </w:r>
      <m:oMathPara>
        <m:oMathParaPr>
          <m:jc m:val="left"/>
        </m:oMathParaPr>
        <m:oMath xmlns:mml="http://www.w3.org/1998/Math/MathML">
          <m:r>
            <w:rPr>
              <w:rFonts w:ascii="Cambria Math" w:hAnsi="Cambria Math"/>
            </w:rPr>
            <m:t>Db</m:t>
          </m:r>
        </m:oMath>
      </m:oMathPara>
      <w:r>
        <w:rPr>
          <w:rFonts w:eastAsia="等线" w:ascii="Arial" w:cs="Arial" w:hAnsi="Arial"/>
          <w:b w:val="true"/>
          <w:sz w:val="22"/>
        </w:rPr>
        <w:t xml:space="preserve"> (Batch Questions)</w:t>
      </w:r>
      <w:r>
        <w:rPr>
          <w:rFonts w:eastAsia="等线" w:ascii="Arial" w:cs="Arial" w:hAnsi="Arial"/>
          <w:sz w:val="22"/>
        </w:rPr>
        <w:t>：代表问题的</w:t>
      </w:r>
      <w:r>
        <w:rPr>
          <w:rFonts w:eastAsia="等线" w:ascii="Arial" w:cs="Arial" w:hAnsi="Arial"/>
          <w:b w:val="true"/>
          <w:sz w:val="22"/>
        </w:rPr>
        <w:t>覆盖广度</w:t>
      </w:r>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Db</m:t>
          </m:r>
        </m:oMath>
      </m:oMathPara>
      <w:r>
        <w:rPr>
          <w:rFonts w:eastAsia="等线" w:ascii="Arial" w:cs="Arial" w:hAnsi="Arial"/>
          <w:sz w:val="22"/>
        </w:rPr>
        <w:t xml:space="preserve"> 越大，模型接触到的数学题型越多样。</w:t>
      </w:r>
    </w:p>
    <w:p>
      <w:pPr>
        <w:numPr>
          <w:numId w:val="4"/>
        </w:numPr>
        <w:spacing w:before="120" w:after="120" w:line="288" w:lineRule="auto"/>
        <w:ind w:left="0"/>
        <w:jc w:val="left"/>
      </w:pPr>
      <w:r>
        <w:rPr>
          <w:rFonts w:eastAsia="等线" w:ascii="Arial" w:cs="Arial" w:hAnsi="Arial"/>
          <w:b w:val="true"/>
          <w:sz w:val="22"/>
        </w:rPr>
        <w:t>Epoch</w:t>
      </w:r>
      <w:r>
        <w:rPr>
          <w:rFonts w:eastAsia="等线" w:ascii="Arial" w:cs="Arial" w:hAnsi="Arial"/>
          <w:sz w:val="22"/>
        </w:rPr>
        <w:t>：代表对当前轮次专家数据的利用强度</w:t>
      </w: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维度一：数据集难易</w:t>
      </w:r>
      <w:bookmarkEnd w:id="1"/>
    </w:p>
    <w:p>
      <w:pPr>
        <w:pStyle w:val="4"/>
        <w:spacing w:before="260" w:after="120" w:line="288" w:lineRule="auto"/>
        <w:ind w:left="0"/>
        <w:jc w:val="left"/>
        <w:outlineLvl w:val="3"/>
      </w:pPr>
      <w:bookmarkStart w:name="heading_2" w:id="2"/>
      <w:r>
        <w:rPr>
          <w:rFonts w:eastAsia="等线" w:ascii="Arial" w:cs="Arial" w:hAnsi="Arial"/>
          <w:b w:val="true"/>
          <w:sz w:val="28"/>
        </w:rPr>
        <w:t>简单：GSM8k，难：Math12k</w:t>
      </w:r>
      <w:bookmarkEnd w:id="2"/>
    </w:p>
    <w:p>
      <w:pPr>
        <w:spacing w:before="120" w:after="120" w:line="288" w:lineRule="auto"/>
        <w:ind w:left="0"/>
        <w:jc w:val="left"/>
      </w:pPr>
      <w:r>
        <w:rPr>
          <w:rFonts w:eastAsia="等线" w:ascii="Arial" w:cs="Arial" w:hAnsi="Arial"/>
          <w:sz w:val="22"/>
        </w:rPr>
        <w:t>直觉：简单数据集应该更好学？</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ead2"/>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不论数据集是否简单还是难，随着训练步数增加，效果基本没有提升</w:t>
            </w:r>
          </w:p>
        </w:tc>
      </w:tr>
    </w:tbl>
    <w:p>
      <w:pPr>
        <w:pStyle w:val="3"/>
        <w:spacing w:before="300" w:after="120" w:line="288" w:lineRule="auto"/>
        <w:ind w:left="0"/>
        <w:jc w:val="left"/>
        <w:outlineLvl w:val="2"/>
      </w:pPr>
      <w:bookmarkStart w:name="heading_3" w:id="3"/>
      <w:r>
        <w:rPr>
          <w:rFonts w:eastAsia="等线" w:ascii="Arial" w:cs="Arial" w:hAnsi="Arial"/>
          <w:b w:val="true"/>
          <w:sz w:val="30"/>
        </w:rPr>
        <w:t>维度二：格式要求难易</w:t>
      </w:r>
      <w:bookmarkEnd w:id="3"/>
    </w:p>
    <w:p>
      <w:pPr>
        <w:pStyle w:val="4"/>
        <w:spacing w:before="260" w:after="120" w:line="288" w:lineRule="auto"/>
        <w:ind w:left="0"/>
        <w:jc w:val="left"/>
        <w:outlineLvl w:val="3"/>
      </w:pPr>
      <w:bookmarkStart w:name="heading_4" w:id="4"/>
      <w:r>
        <w:rPr>
          <w:rFonts w:eastAsia="等线" w:ascii="Arial" w:cs="Arial" w:hAnsi="Arial"/>
          <w:b w:val="true"/>
          <w:sz w:val="28"/>
        </w:rPr>
        <w:t>简单：question_only, 难：r1_zero</w:t>
      </w:r>
      <w:bookmarkEnd w:id="4"/>
    </w:p>
    <w:p>
      <w:pPr>
        <w:spacing w:before="120" w:after="120" w:line="288" w:lineRule="auto"/>
        <w:ind w:left="0"/>
        <w:jc w:val="left"/>
      </w:pPr>
      <w:r>
        <w:rPr>
          <w:rFonts w:eastAsia="等线" w:ascii="Arial" w:cs="Arial" w:hAnsi="Arial"/>
          <w:sz w:val="22"/>
        </w:rPr>
        <w:t>直觉：模型效果没有提升的原因是不是卡在了格式学习上？如果把格式要求降低是否能效果有提升；是不是由于在训练前期由于模型效果和数据集难的原因导致过滤后的数据很少，导致模型没有足够的数据进行学习？所以通过降低格式要求，来增加过滤后训练数据，是否能效果有提升</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ead2"/>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可以看到在使用question_only prompt模版时，format_score 和 answer_score的初始值都相当高，但是随着训练步数增加，效果基本也没有提升。</w:t>
            </w: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90602">
    <w:lvl>
      <w:numFmt w:val="bullet"/>
      <w:suff w:val="tab"/>
      <w:lvlText w:val="•"/>
      <w:rPr>
        <w:color w:val="3370ff"/>
      </w:rPr>
    </w:lvl>
  </w:abstractNum>
  <w:abstractNum w:abstractNumId="690603">
    <w:lvl>
      <w:numFmt w:val="bullet"/>
      <w:suff w:val="tab"/>
      <w:lvlText w:val="•"/>
      <w:rPr>
        <w:color w:val="3370ff"/>
      </w:rPr>
    </w:lvl>
  </w:abstractNum>
  <w:abstractNum w:abstractNumId="690604">
    <w:lvl>
      <w:numFmt w:val="bullet"/>
      <w:suff w:val="tab"/>
      <w:lvlText w:val="•"/>
      <w:rPr>
        <w:color w:val="3370ff"/>
      </w:rPr>
    </w:lvl>
  </w:abstractNum>
  <w:abstractNum w:abstractNumId="690605">
    <w:lvl>
      <w:numFmt w:val="bullet"/>
      <w:suff w:val="tab"/>
      <w:lvlText w:val="•"/>
      <w:rPr>
        <w:color w:val="3370ff"/>
      </w:rPr>
    </w:lvl>
  </w:abstractNum>
  <w:num w:numId="1">
    <w:abstractNumId w:val="690602"/>
  </w:num>
  <w:num w:numId="2">
    <w:abstractNumId w:val="690603"/>
  </w:num>
  <w:num w:numId="3">
    <w:abstractNumId w:val="690604"/>
  </w:num>
  <w:num w:numId="4">
    <w:abstractNumId w:val="6906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2026-07-26T08:29:27Z</dcterms:created>
  <dc:creator>Apache POI</dc:creator>
</cp:coreProperties>
</file>