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 策略梯度原理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明确 RL 目标函数</w:t>
            </w:r>
            <w:r>
              <w:rPr>
                <w:rFonts w:eastAsia="等线" w:ascii="Arial" w:cs="Arial" w:hAnsi="Arial"/>
                <w:sz w:val="22"/>
              </w:rPr>
              <w:t xml:space="preserve">：定义agent的优化目标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J(θ)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推导 REINFORCE 公式</w:t>
            </w:r>
            <w:r>
              <w:rPr>
                <w:rFonts w:eastAsia="等线" w:ascii="Arial" w:cs="Arial" w:hAnsi="Arial"/>
                <w:sz w:val="22"/>
              </w:rPr>
              <w:t xml:space="preserve">：完整推导出无基线策略梯度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J(</m:t>
                </m:r>
                <m:sSub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（对应 Eq. 20）。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理解梯度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理解样本估计</w:t>
            </w:r>
            <w:r>
              <w:rPr>
                <w:rFonts w:eastAsia="等线" w:ascii="Arial" w:cs="Arial" w:hAnsi="Arial"/>
                <w:sz w:val="22"/>
              </w:rPr>
              <w:t xml:space="preserve">：掌握如何通过采样的轨迹来估计梯度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limUpp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^</m:t>
                    </m:r>
                  </m:lim>
                </m:limUpp>
              </m:oMath>
            </m:oMathPara>
            <w:r>
              <w:rPr>
                <w:rFonts w:eastAsia="等线" w:ascii="Arial" w:cs="Arial" w:hAnsi="Arial"/>
                <w:sz w:val="22"/>
              </w:rPr>
              <w:t>（对应 Eq. 21）。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优化目标：最大化期望回报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智能体的最终目标是找到一组策略参数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，使得在策略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下执行的</w:t>
      </w:r>
      <w:r>
        <w:rPr>
          <w:rFonts w:eastAsia="等线" w:ascii="Arial" w:cs="Arial" w:hAnsi="Arial"/>
          <w:b w:val="true"/>
          <w:sz w:val="22"/>
        </w:rPr>
        <w:t xml:space="preserve">期望回报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最大化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目标函数 (Eq. 7)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w:rPr>
              <w:rFonts w:ascii="Cambria Math" w:hAnsi="Cambria Math"/>
            </w:rPr>
            <m:t>[R(τ)]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</m:t>
          </m:r>
        </m:oMath>
      </m:oMathPara>
      <w:r>
        <w:rPr>
          <w:rFonts w:eastAsia="等线" w:ascii="Arial" w:cs="Arial" w:hAnsi="Arial"/>
          <w:sz w:val="22"/>
        </w:rPr>
        <w:t xml:space="preserve"> 是一个轨迹（Trajectory），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 是该轨迹的总回报（Return）。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优化问题 (Eq. 8)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w:rPr>
              <w:rFonts w:ascii="Cambria Math" w:hAnsi="Cambria Math"/>
            </w:rPr>
            <m:t>J(θ)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我们通过</w:t>
      </w:r>
      <w:r>
        <w:rPr>
          <w:rFonts w:eastAsia="等线" w:ascii="Arial" w:cs="Arial" w:hAnsi="Arial"/>
          <w:b w:val="true"/>
          <w:sz w:val="22"/>
        </w:rPr>
        <w:t>梯度上升</w:t>
      </w:r>
      <w:r>
        <w:rPr>
          <w:rFonts w:eastAsia="等线" w:ascii="Arial" w:cs="Arial" w:hAnsi="Arial"/>
          <w:sz w:val="22"/>
        </w:rPr>
        <w:t>来求解（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+α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），所以核心在于计算梯度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策略梯度的核心推导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我们将利用三个关键的数学/理论事实进行推导：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轨迹的概率（Eq. 11 &amp; 12）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一个轨迹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τ=(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的生成概率，是</w:t>
      </w:r>
      <w:r>
        <w:rPr>
          <w:rFonts w:eastAsia="等线" w:ascii="Arial" w:cs="Arial" w:hAnsi="Arial"/>
          <w:b w:val="true"/>
          <w:sz w:val="22"/>
        </w:rPr>
        <w:t>初始状态分布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所有状态转移</w:t>
      </w:r>
      <w:r>
        <w:rPr>
          <w:rFonts w:eastAsia="等线" w:ascii="Arial" w:cs="Arial" w:hAnsi="Arial"/>
          <w:sz w:val="22"/>
        </w:rPr>
        <w:t>（环境和策略）的乘积：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P(τ|θ)=ρ(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(Eq. 11)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对数概率（用于简化乘积）：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⁡P(τ|θ)=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⁡ρ(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⁡P(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e>
          </m:nary>
          <m:r>
            <m:rPr>
              <m:nor/>
            </m:rPr>
            <w:rPr>
              <w:rFonts w:ascii="Cambria Math" w:hAnsi="Cambria Math"/>
            </w:rPr>
            <m:t>(Eq. 12)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对数导数技巧 (Log-Derivative Trick) (Eq. 13)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这是策略梯度法的核心数学工具：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P(τ|θ)=P(τ|θ)⋅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⁡P(τ|θ)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这个技巧允许我们将梯度符号“移入”到对数函数内部，将梯度计算转化为对概率分布的简单求导。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环境项的常数性 (Environment Terms are Constant) (Eq. 14)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在我们的 LLM 场景中（以及大多数 RL 任务中）：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初始状态分布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：我们设定的 Prompt 集合。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环境转移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：在 LLM 中是确定性的文本拼接。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回报函数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：依赖于环境结果，但不依赖于策略参数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因此，这些项对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的梯度为零：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ρ(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)=0,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R(τ)=0</m:t>
          </m:r>
          <m:r>
            <m:rPr>
              <m:nor/>
            </m:rPr>
            <w:rPr>
              <w:rFonts w:ascii="Cambria Math" w:hAnsi="Cambria Math"/>
            </w:rPr>
            <m:t>(Eq. 14)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最终推导 (REINFORCE)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结合以上三点，对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sz w:val="22"/>
        </w:rPr>
        <w:t xml:space="preserve"> 求梯度（见 </w:t>
      </w:r>
      <w:r>
        <w:rPr>
          <w:rFonts w:eastAsia="等线" w:ascii="Arial" w:cs="Arial" w:hAnsi="Arial"/>
          <w:b w:val="true"/>
          <w:sz w:val="22"/>
        </w:rPr>
        <w:t>Eq. 15 到 20</w:t>
      </w:r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nor/>
            </m:rPr>
            <w:rPr>
              <w:rFonts w:ascii="Cambria Math" w:hAnsi="Cambria Math"/>
            </w:rPr>
            <m:t>(Eq. 20)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直观理解 (Eq. 20)：</w:t>
      </w:r>
      <w:r>
        <w:rPr>
          <w:rFonts w:eastAsia="等线" w:ascii="Arial" w:cs="Arial" w:hAnsi="Arial"/>
          <w:sz w:val="22"/>
        </w:rPr>
        <w:t xml:space="preserve"> 梯度与“高回报轨迹的动作概率”成正比。如果一个动作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属于一个最终获得高回报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 的轨迹，那么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会推动参数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概率增大（即鼓励这个动作），反之，如果 a_t 是一个“坏动作”（概率相对较低的动作），其梯度项依然是负的，被放大后，使得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减小。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三、梯度的理解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数学层面：函数的“斜率”或“导数”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梯度本质上是</w:t>
      </w:r>
      <w:r>
        <w:rPr>
          <w:rFonts w:eastAsia="等线" w:ascii="Arial" w:cs="Arial" w:hAnsi="Arial"/>
          <w:b w:val="true"/>
          <w:sz w:val="22"/>
        </w:rPr>
        <w:t>多变量函数对所有变量的偏导数组成的向量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A. 一元函数（最简单的情况）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想象你站在一个碗的侧面，碗的形状由函数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定义。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导数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：告诉你：如果你沿着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轴朝哪个方向迈一小步，函数值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会</w:t>
      </w:r>
      <w:r>
        <w:rPr>
          <w:rFonts w:eastAsia="等线" w:ascii="Arial" w:cs="Arial" w:hAnsi="Arial"/>
          <w:b w:val="true"/>
          <w:sz w:val="22"/>
        </w:rPr>
        <w:t>上升最快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B. 多元函数（神经网络）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包含成千上万个权重和偏置，所以我们处理的是一个高维函数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sz w:val="22"/>
        </w:rPr>
        <w:t>（例如损失函数或回报函数）。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：这是一个向量，包含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sz w:val="22"/>
        </w:rPr>
        <w:t xml:space="preserve"> 对每一个参数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物理含义</w:t>
      </w:r>
      <w:r>
        <w:rPr>
          <w:rFonts w:eastAsia="等线" w:ascii="Arial" w:cs="Arial" w:hAnsi="Arial"/>
          <w:sz w:val="22"/>
        </w:rPr>
        <w:t xml:space="preserve">：这个向量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指向了函数值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增加最快的方向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优化层面：梯度上升与下降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我们训练模型的目标是</w:t>
      </w:r>
      <w:r>
        <w:rPr>
          <w:rFonts w:eastAsia="等线" w:ascii="Arial" w:cs="Arial" w:hAnsi="Arial"/>
          <w:b w:val="true"/>
          <w:sz w:val="22"/>
        </w:rPr>
        <w:t>优化</w:t>
      </w:r>
      <w:r>
        <w:rPr>
          <w:rFonts w:eastAsia="等线" w:ascii="Arial" w:cs="Arial" w:hAnsi="Arial"/>
          <w:sz w:val="22"/>
        </w:rPr>
        <w:t xml:space="preserve">一个函数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>（在 RL 中是最大化回报，在 SFT 中是最小化 Loss）。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梯度上升 (Gradient Ascent)</w:t>
      </w:r>
      <w:r>
        <w:rPr>
          <w:rFonts w:eastAsia="等线" w:ascii="Arial" w:cs="Arial" w:hAnsi="Arial"/>
          <w:sz w:val="22"/>
        </w:rPr>
        <w:t>：用于最大化目标函数（如 RL 中的 $J(\theta)$）。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+α⋅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J(θ)</m:t>
          </m:r>
        </m:oMath>
      </m:oMathPara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解释</w:t>
      </w:r>
      <w:r>
        <w:rPr>
          <w:rFonts w:eastAsia="等线" w:ascii="Arial" w:cs="Arial" w:hAnsi="Arial"/>
          <w:sz w:val="22"/>
        </w:rPr>
        <w:t>：沿着梯度向量指向的</w:t>
      </w:r>
      <w:r>
        <w:rPr>
          <w:rFonts w:eastAsia="等线" w:ascii="Arial" w:cs="Arial" w:hAnsi="Arial"/>
          <w:b w:val="true"/>
          <w:sz w:val="22"/>
        </w:rPr>
        <w:t>最陡峭上升方向</w:t>
      </w:r>
      <w:r>
        <w:rPr>
          <w:rFonts w:eastAsia="等线" w:ascii="Arial" w:cs="Arial" w:hAnsi="Arial"/>
          <w:sz w:val="22"/>
        </w:rPr>
        <w:t xml:space="preserve">迈一小步（步长由学习率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控制）。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梯度下降 (Gradient Descent)</w:t>
      </w:r>
      <w:r>
        <w:rPr>
          <w:rFonts w:eastAsia="等线" w:ascii="Arial" w:cs="Arial" w:hAnsi="Arial"/>
          <w:sz w:val="22"/>
        </w:rPr>
        <w:t>：用于最小化损失函数（如 SFT 的 Cross-Entropy Loss）。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−α⋅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L(θ)</m:t>
          </m:r>
        </m:oMath>
      </m:oMathPara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解释</w:t>
      </w:r>
      <w:r>
        <w:rPr>
          <w:rFonts w:eastAsia="等线" w:ascii="Arial" w:cs="Arial" w:hAnsi="Arial"/>
          <w:sz w:val="22"/>
        </w:rPr>
        <w:t>：沿着梯度向量指向的</w:t>
      </w:r>
      <w:r>
        <w:rPr>
          <w:rFonts w:eastAsia="等线" w:ascii="Arial" w:cs="Arial" w:hAnsi="Arial"/>
          <w:b w:val="true"/>
          <w:sz w:val="22"/>
        </w:rPr>
        <w:t>最陡峭下降方向</w:t>
      </w:r>
      <w:r>
        <w:rPr>
          <w:rFonts w:eastAsia="等线" w:ascii="Arial" w:cs="Arial" w:hAnsi="Arial"/>
          <w:sz w:val="22"/>
        </w:rPr>
        <w:t>迈一小步。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在 REINFORCE/GRPO 中的特殊角色：策略梯度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在强化学习中，我们计算的梯度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是用来更新策略（Policy）的。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(a|s)</m:t>
          </m:r>
        </m:oMath>
      </m:oMathPara>
      <w:r>
        <w:rPr>
          <w:rFonts w:eastAsia="等线" w:ascii="Arial" w:cs="Arial" w:hAnsi="Arial"/>
          <w:sz w:val="22"/>
        </w:rPr>
        <w:t>：这部分是</w:t>
      </w:r>
      <w:r>
        <w:rPr>
          <w:rFonts w:eastAsia="等线" w:ascii="Arial" w:cs="Arial" w:hAnsi="Arial"/>
          <w:b w:val="true"/>
          <w:sz w:val="22"/>
        </w:rPr>
        <w:t>方向指示器</w:t>
      </w:r>
      <w:r>
        <w:rPr>
          <w:rFonts w:eastAsia="等线" w:ascii="Arial" w:cs="Arial" w:hAnsi="Arial"/>
          <w:sz w:val="22"/>
        </w:rPr>
        <w:t xml:space="preserve">，告诉我们“如何改变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才能让动作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的出现概率变大”。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A(s,a)</m:t>
          </m:r>
        </m:oMath>
      </m:oMathPara>
      <w:r>
        <w:rPr>
          <w:rFonts w:eastAsia="等线" w:ascii="Arial" w:cs="Arial" w:hAnsi="Arial"/>
          <w:sz w:val="22"/>
        </w:rPr>
        <w:t>：这部分是“乘数”或“权重”，它告诉我们“这个动作有多大的价值”。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所以，REINFORCE 算法的梯度，就是“方向指示器”</w:t>
      </w:r>
      <w:r>
        <w:rPr>
          <w:rFonts w:eastAsia="等线" w:ascii="Arial" w:cs="Arial" w:hAnsi="Arial"/>
          <w:b w:val="true"/>
          <w:sz w:val="22"/>
        </w:rPr>
        <w:t>乘以</w:t>
      </w:r>
      <w:r>
        <w:rPr>
          <w:rFonts w:eastAsia="等线" w:ascii="Arial" w:cs="Arial" w:hAnsi="Arial"/>
          <w:sz w:val="22"/>
        </w:rPr>
        <w:t>“价值权重”的结果。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三、 梯度估计 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由于期望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意味着在所有可能轨迹上的平均，我们无法计算所有可能，因此需要</w:t>
      </w:r>
      <w:r>
        <w:rPr>
          <w:rFonts w:eastAsia="等线" w:ascii="Arial" w:cs="Arial" w:hAnsi="Arial"/>
          <w:b w:val="true"/>
          <w:sz w:val="22"/>
        </w:rPr>
        <w:t>采样估计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样本估计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  <w:r>
        <w:rPr>
          <w:rFonts w:eastAsia="等线" w:ascii="Arial" w:cs="Arial" w:hAnsi="Arial"/>
          <w:b w:val="true"/>
          <w:sz w:val="22"/>
        </w:rPr>
        <w:t>) (Eq. 21)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我们从当前策略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中采样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个独立的轨迹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={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sSubSup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，用它们的平均值来近似真实梯度：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|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)R(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最终更新</w:t>
      </w:r>
      <w:r>
        <w:rPr>
          <w:rFonts w:eastAsia="等线" w:ascii="Arial" w:cs="Arial" w:hAnsi="Arial"/>
          <w:sz w:val="22"/>
        </w:rPr>
        <w:t>：参数通过梯度上升更新：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θ←θ+α</m:t>
          </m:r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符号表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2235"/>
        <w:gridCol w:w="2235"/>
        <w:gridCol w:w="223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概念名称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场景下的具体含义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Policy Parameters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策略模型的参数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的所有可训练权重，如 Qwen 的参数。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State</w:t>
            </w:r>
            <w:r>
              <w:rPr>
                <w:rFonts w:eastAsia="等线" w:ascii="Arial" w:cs="Arial" w:hAnsi="Arial"/>
                <w:sz w:val="22"/>
              </w:rPr>
              <w:t xml:space="preserve"> (状态)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环境的当前配置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当前上下文</w:t>
            </w:r>
            <w:r>
              <w:rPr>
                <w:rFonts w:eastAsia="等线" w:ascii="Arial" w:cs="Arial" w:hAnsi="Arial"/>
                <w:sz w:val="22"/>
              </w:rPr>
              <w:t>（Prompt + 已生成的所有 Token）。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</w:t>
            </w:r>
            <w:r>
              <w:rPr>
                <w:rFonts w:eastAsia="等线" w:ascii="Arial" w:cs="Arial" w:hAnsi="Arial"/>
                <w:sz w:val="22"/>
              </w:rPr>
              <w:t xml:space="preserve"> (动作)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智能体在状态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下的决策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下一个生成的 Token</w:t>
            </w:r>
            <w:r>
              <w:rPr>
                <w:rFonts w:eastAsia="等线" w:ascii="Arial" w:cs="Arial" w:hAnsi="Arial"/>
                <w:sz w:val="22"/>
              </w:rPr>
              <w:t>（从词表中选择一个 ID）。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(s,a)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Policy</w:t>
            </w:r>
            <w:r>
              <w:rPr>
                <w:rFonts w:eastAsia="等线" w:ascii="Arial" w:cs="Arial" w:hAnsi="Arial"/>
                <w:sz w:val="22"/>
              </w:rPr>
              <w:t xml:space="preserve"> (策略)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在状态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s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下采取动作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的概率分布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next-token的概率分布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Reward</w:t>
            </w:r>
            <w:r>
              <w:rPr>
                <w:rFonts w:eastAsia="等线" w:ascii="Arial" w:cs="Arial" w:hAnsi="Arial"/>
                <w:sz w:val="22"/>
              </w:rPr>
              <w:t xml:space="preserve"> (即时奖励)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环境在时刻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对动作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的即时反馈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在数学推理中，通常中间步骤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R(τ)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Return</w:t>
            </w:r>
            <w:r>
              <w:rPr>
                <w:rFonts w:eastAsia="等线" w:ascii="Arial" w:cs="Arial" w:hAnsi="Arial"/>
                <w:sz w:val="22"/>
              </w:rPr>
              <w:t xml:space="preserve"> (回报)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从时刻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到轨迹结束的所有累积奖励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最终答案的正确性</w:t>
            </w:r>
            <w:r>
              <w:rPr>
                <w:rFonts w:eastAsia="等线" w:ascii="Arial" w:cs="Arial" w:hAnsi="Arial"/>
                <w:sz w:val="22"/>
              </w:rPr>
              <w:t>（1 或 0）。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ρ(</m:t>
                </m:r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 Distribution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初始状态的分布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集合</w:t>
            </w:r>
            <w:r>
              <w:rPr>
                <w:rFonts w:eastAsia="等线" w:ascii="Arial" w:cs="Arial" w:hAnsi="Arial"/>
                <w:sz w:val="22"/>
              </w:rPr>
              <w:t>的分布。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P(</m:t>
                </m:r>
                <m:sSup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</w:rPr>
                  <m:t>|s,a)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State Transition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环境从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s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转移到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的概率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确定性，生成的token加入到上下文中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Trajectory</w:t>
            </w:r>
            <w:r>
              <w:rPr>
                <w:rFonts w:eastAsia="等线" w:ascii="Arial" w:cs="Arial" w:hAnsi="Arial"/>
                <w:sz w:val="22"/>
              </w:rPr>
              <w:t xml:space="preserve"> (轨迹)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 (状态, 动作, 奖励) 序列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完整的 Prompt + 模型生成的所有文本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J(</m:t>
                </m:r>
                <m:sSub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Policy Gradient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策略函数的梯度，指导参数更新方向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梯度，用于</w:t>
            </w:r>
            <w:r>
              <w:rPr>
                <w:rFonts w:eastAsia="等线" w:ascii="Arial" w:cs="Arial" w:hAnsi="Arial"/>
                <w:b w:val="true"/>
                <w:sz w:val="22"/>
              </w:rPr>
              <w:t>最大化</w:t>
            </w:r>
            <w:r>
              <w:rPr>
                <w:rFonts w:eastAsia="等线" w:ascii="Arial" w:cs="Arial" w:hAnsi="Arial"/>
                <w:sz w:val="22"/>
              </w:rPr>
              <w:t>获得高回报动作的概率。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limUpp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^</m:t>
                    </m:r>
                  </m:lim>
                </m:limUpp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Sample Estimate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梯度的样本估计值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通过采样多条轨迹计算出的</w:t>
            </w:r>
            <w:r>
              <w:rPr>
                <w:rFonts w:eastAsia="等线" w:ascii="Arial" w:cs="Arial" w:hAnsi="Arial"/>
                <w:b w:val="true"/>
                <w:sz w:val="22"/>
              </w:rPr>
              <w:t>近似梯度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b(s)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Baseline</w:t>
            </w:r>
            <w:r>
              <w:rPr>
                <w:rFonts w:eastAsia="等线" w:ascii="Arial" w:cs="Arial" w:hAnsi="Arial"/>
                <w:sz w:val="22"/>
              </w:rPr>
              <w:t xml:space="preserve"> (基线)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一个只依赖于状态的函数，用于减小梯度方差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价值函数 </w:t>
            </w:r>
            <w:r>
              <w:rPr>
                <w:rFonts w:eastAsia="等线" w:ascii="Arial" w:cs="Arial" w:hAnsi="Arial"/>
                <w:b w:val="true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limUpp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^</m:t>
                    </m:r>
                  </m:lim>
                </m:limUpp>
                <m:r>
                  <w:rPr>
                    <w:rFonts w:ascii="Cambria Math" w:hAnsi="Cambria Math"/>
                  </w:rPr>
                  <m:t>(s)</m:t>
                </m:r>
              </m:oMath>
            </m:oMathPara>
            <w:r>
              <w:rPr>
                <w:rFonts w:eastAsia="等线" w:ascii="Arial" w:cs="Arial" w:hAnsi="Arial"/>
                <w:b w:val="true"/>
                <w:sz w:val="22"/>
              </w:rPr>
              <w:t xml:space="preserve"> 的估计</w:t>
            </w:r>
            <w:r>
              <w:rPr>
                <w:rFonts w:eastAsia="等线" w:ascii="Arial" w:cs="Arial" w:hAnsi="Arial"/>
                <w:sz w:val="22"/>
              </w:rPr>
              <w:t>，用于计算 Advantage。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A(s,a)</m:t>
                </m:r>
              </m:oMath>
            </m:oMathPara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Advantage</w:t>
            </w:r>
            <w:r>
              <w:rPr>
                <w:rFonts w:eastAsia="等线" w:ascii="Arial" w:cs="Arial" w:hAnsi="Arial"/>
                <w:sz w:val="22"/>
              </w:rPr>
              <w:t xml:space="preserve"> (优势)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R(τ)−b(s)</m:t>
                </m:r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衡量动作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比“平均水平”好多少。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0728">
    <w:lvl>
      <w:start w:val="1"/>
      <w:numFmt w:val="decimal"/>
      <w:suff w:val="tab"/>
      <w:lvlText w:val="%1."/>
      <w:rPr>
        <w:color w:val="3370ff"/>
      </w:rPr>
    </w:lvl>
  </w:abstractNum>
  <w:abstractNum w:abstractNumId="400729">
    <w:lvl>
      <w:start w:val="2"/>
      <w:numFmt w:val="decimal"/>
      <w:suff w:val="tab"/>
      <w:lvlText w:val="%1."/>
      <w:rPr>
        <w:color w:val="3370ff"/>
      </w:rPr>
    </w:lvl>
  </w:abstractNum>
  <w:abstractNum w:abstractNumId="400730">
    <w:lvl>
      <w:start w:val="3"/>
      <w:numFmt w:val="decimal"/>
      <w:suff w:val="tab"/>
      <w:lvlText w:val="%1."/>
      <w:rPr>
        <w:color w:val="3370ff"/>
      </w:rPr>
    </w:lvl>
  </w:abstractNum>
  <w:abstractNum w:abstractNumId="400731">
    <w:lvl>
      <w:start w:val="4"/>
      <w:numFmt w:val="decimal"/>
      <w:suff w:val="tab"/>
      <w:lvlText w:val="%1."/>
      <w:rPr>
        <w:color w:val="3370ff"/>
      </w:rPr>
    </w:lvl>
  </w:abstractNum>
  <w:abstractNum w:abstractNumId="400732">
    <w:lvl>
      <w:numFmt w:val="bullet"/>
      <w:suff w:val="tab"/>
      <w:lvlText w:val="•"/>
      <w:rPr>
        <w:color w:val="3370ff"/>
      </w:rPr>
    </w:lvl>
  </w:abstractNum>
  <w:abstractNum w:abstractNumId="400733">
    <w:lvl>
      <w:numFmt w:val="bullet"/>
      <w:suff w:val="tab"/>
      <w:lvlText w:val="•"/>
      <w:rPr>
        <w:color w:val="3370ff"/>
      </w:rPr>
    </w:lvl>
  </w:abstractNum>
  <w:abstractNum w:abstractNumId="400734">
    <w:lvl>
      <w:numFmt w:val="bullet"/>
      <w:suff w:val="tab"/>
      <w:lvlText w:val="•"/>
      <w:rPr>
        <w:color w:val="3370ff"/>
      </w:rPr>
    </w:lvl>
  </w:abstractNum>
  <w:abstractNum w:abstractNumId="400735">
    <w:lvl>
      <w:numFmt w:val="bullet"/>
      <w:suff w:val="tab"/>
      <w:lvlText w:val="•"/>
      <w:rPr>
        <w:color w:val="3370ff"/>
      </w:rPr>
    </w:lvl>
  </w:abstractNum>
  <w:abstractNum w:abstractNumId="400736">
    <w:lvl>
      <w:numFmt w:val="bullet"/>
      <w:suff w:val="tab"/>
      <w:lvlText w:val="•"/>
      <w:rPr>
        <w:color w:val="3370ff"/>
      </w:rPr>
    </w:lvl>
  </w:abstractNum>
  <w:abstractNum w:abstractNumId="400737">
    <w:lvl>
      <w:numFmt w:val="bullet"/>
      <w:suff w:val="tab"/>
      <w:lvlText w:val="•"/>
      <w:rPr>
        <w:color w:val="3370ff"/>
      </w:rPr>
    </w:lvl>
  </w:abstractNum>
  <w:abstractNum w:abstractNumId="400738">
    <w:lvl>
      <w:numFmt w:val="bullet"/>
      <w:suff w:val="tab"/>
      <w:lvlText w:val="•"/>
      <w:rPr>
        <w:color w:val="3370ff"/>
      </w:rPr>
    </w:lvl>
  </w:abstractNum>
  <w:abstractNum w:abstractNumId="400739">
    <w:lvl>
      <w:numFmt w:val="bullet"/>
      <w:suff w:val="tab"/>
      <w:lvlText w:val="•"/>
      <w:rPr>
        <w:color w:val="3370ff"/>
      </w:rPr>
    </w:lvl>
  </w:abstractNum>
  <w:abstractNum w:abstractNumId="400740">
    <w:lvl>
      <w:start w:val="1"/>
      <w:numFmt w:val="decimal"/>
      <w:suff w:val="tab"/>
      <w:lvlText w:val="%1."/>
      <w:rPr>
        <w:color w:val="3370ff"/>
      </w:rPr>
    </w:lvl>
  </w:abstractNum>
  <w:abstractNum w:abstractNumId="400741">
    <w:lvl>
      <w:numFmt w:val="bullet"/>
      <w:suff w:val="tab"/>
      <w:lvlText w:val="￮"/>
      <w:rPr>
        <w:color w:val="3370ff"/>
      </w:rPr>
    </w:lvl>
  </w:abstractNum>
  <w:abstractNum w:abstractNumId="400742">
    <w:lvl>
      <w:start w:val="2"/>
      <w:numFmt w:val="decimal"/>
      <w:suff w:val="tab"/>
      <w:lvlText w:val="%1."/>
      <w:rPr>
        <w:color w:val="3370ff"/>
      </w:rPr>
    </w:lvl>
  </w:abstractNum>
  <w:abstractNum w:abstractNumId="400743">
    <w:lvl>
      <w:numFmt w:val="bullet"/>
      <w:suff w:val="tab"/>
      <w:lvlText w:val="￮"/>
      <w:rPr>
        <w:color w:val="3370ff"/>
      </w:rPr>
    </w:lvl>
  </w:abstractNum>
  <w:abstractNum w:abstractNumId="400744">
    <w:lvl>
      <w:numFmt w:val="bullet"/>
      <w:suff w:val="tab"/>
      <w:lvlText w:val="•"/>
      <w:rPr>
        <w:color w:val="3370ff"/>
      </w:rPr>
    </w:lvl>
  </w:abstractNum>
  <w:abstractNum w:abstractNumId="400745">
    <w:lvl>
      <w:numFmt w:val="bullet"/>
      <w:suff w:val="tab"/>
      <w:lvlText w:val="•"/>
      <w:rPr>
        <w:color w:val="3370ff"/>
      </w:rPr>
    </w:lvl>
  </w:abstractNum>
  <w:abstractNum w:abstractNumId="400746">
    <w:lvl>
      <w:numFmt w:val="bullet"/>
      <w:suff w:val="tab"/>
      <w:lvlText w:val="•"/>
      <w:rPr>
        <w:color w:val="3370ff"/>
      </w:rPr>
    </w:lvl>
  </w:abstractNum>
  <w:abstractNum w:abstractNumId="400747">
    <w:lvl>
      <w:numFmt w:val="bullet"/>
      <w:suff w:val="tab"/>
      <w:lvlText w:val="•"/>
      <w:rPr>
        <w:color w:val="3370ff"/>
      </w:rPr>
    </w:lvl>
  </w:abstractNum>
  <w:num w:numId="1">
    <w:abstractNumId w:val="400728"/>
  </w:num>
  <w:num w:numId="2">
    <w:abstractNumId w:val="400729"/>
  </w:num>
  <w:num w:numId="3">
    <w:abstractNumId w:val="400730"/>
  </w:num>
  <w:num w:numId="4">
    <w:abstractNumId w:val="400731"/>
  </w:num>
  <w:num w:numId="5">
    <w:abstractNumId w:val="400732"/>
  </w:num>
  <w:num w:numId="6">
    <w:abstractNumId w:val="400733"/>
  </w:num>
  <w:num w:numId="7">
    <w:abstractNumId w:val="400734"/>
  </w:num>
  <w:num w:numId="8">
    <w:abstractNumId w:val="400735"/>
  </w:num>
  <w:num w:numId="9">
    <w:abstractNumId w:val="400736"/>
  </w:num>
  <w:num w:numId="10">
    <w:abstractNumId w:val="400737"/>
  </w:num>
  <w:num w:numId="11">
    <w:abstractNumId w:val="400738"/>
  </w:num>
  <w:num w:numId="12">
    <w:abstractNumId w:val="400739"/>
  </w:num>
  <w:num w:numId="13">
    <w:abstractNumId w:val="400740"/>
  </w:num>
  <w:num w:numId="14">
    <w:abstractNumId w:val="400741"/>
  </w:num>
  <w:num w:numId="15">
    <w:abstractNumId w:val="400742"/>
  </w:num>
  <w:num w:numId="16">
    <w:abstractNumId w:val="400743"/>
  </w:num>
  <w:num w:numId="17">
    <w:abstractNumId w:val="400744"/>
  </w:num>
  <w:num w:numId="18">
    <w:abstractNumId w:val="400745"/>
  </w:num>
  <w:num w:numId="19">
    <w:abstractNumId w:val="400746"/>
  </w:num>
  <w:num w:numId="20">
    <w:abstractNumId w:val="4007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2026-07-26T08:29:32Z</dcterms:created>
  <dc:creator>Apache POI</dc:creator>
</cp:coreProperties>
</file>