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4.3 策略梯度基线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识别高方差问题</w:t>
            </w:r>
            <w:r>
              <w:rPr>
                <w:rFonts w:eastAsia="等线" w:ascii="Arial" w:cs="Arial" w:hAnsi="Arial"/>
                <w:sz w:val="22"/>
              </w:rPr>
              <w:t>：理解为什么原始 REINFORCE 梯度估计会产生巨大的方差。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掌握基线（Baseline）的概念</w:t>
            </w:r>
            <w:r>
              <w:rPr>
                <w:rFonts w:eastAsia="等线" w:ascii="Arial" w:cs="Arial" w:hAnsi="Arial"/>
                <w:sz w:val="22"/>
              </w:rPr>
              <w:t xml:space="preserve">：理解基线函数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b(s)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在不引入偏差的前提下如何降低方差。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理解无偏估计的推导</w:t>
            </w:r>
            <w:r>
              <w:rPr>
                <w:rFonts w:eastAsia="等线" w:ascii="Arial" w:cs="Arial" w:hAnsi="Arial"/>
                <w:sz w:val="22"/>
              </w:rPr>
              <w:t xml:space="preserve">：掌握引入基线后，梯度估计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limUpp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^</m:t>
                    </m:r>
                  </m:lim>
                </m:limUpp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如何保持无偏性（对应 Eq. 23, 24, 25）。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 pg_loss的含义，为何不能与sft的loss一样作为评估标准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一、 策略梯度的高方差问题 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 REINFORCE 梯度（Eq. 20）如下：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nor/>
            </m:rPr>
            <w:rPr>
              <w:rFonts w:ascii="Cambria Math" w:hAnsi="Cambria Math"/>
            </w:rPr>
            <m:t>(Eq. 20)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问题所在</w:t>
      </w:r>
      <w:r>
        <w:rPr>
          <w:rFonts w:eastAsia="等线" w:ascii="Arial" w:cs="Arial" w:hAnsi="Arial"/>
          <w:sz w:val="22"/>
        </w:rPr>
        <w:t>：梯度更新的乘数是</w:t>
      </w:r>
      <w:r>
        <w:rPr>
          <w:rFonts w:eastAsia="等线" w:ascii="Arial" w:cs="Arial" w:hAnsi="Arial"/>
          <w:b w:val="true"/>
          <w:sz w:val="22"/>
        </w:rPr>
        <w:t xml:space="preserve">完整的轨迹回报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：一个随机的、运气好的轨迹（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 xml:space="preserve"> 很大）可能会导致参数更新过猛；而一个运气差的轨迹（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 xml:space="preserve"> 接近 0）则会让梯度几乎消失。这种</w:t>
      </w:r>
      <w:r>
        <w:rPr>
          <w:rFonts w:eastAsia="等线" w:ascii="Arial" w:cs="Arial" w:hAnsi="Arial"/>
          <w:b w:val="true"/>
          <w:sz w:val="22"/>
        </w:rPr>
        <w:t>对轨迹随机性的过度敏感</w:t>
      </w:r>
      <w:r>
        <w:rPr>
          <w:rFonts w:eastAsia="等线" w:ascii="Arial" w:cs="Arial" w:hAnsi="Arial"/>
          <w:sz w:val="22"/>
        </w:rPr>
        <w:t>，就是高方差。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二、 基线函数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b(s)</m:t>
          </m:r>
        </m:oMath>
      </m:oMathPara>
      <w:r>
        <w:rPr>
          <w:rFonts w:eastAsia="等线" w:ascii="Arial" w:cs="Arial" w:hAnsi="Arial"/>
          <w:b w:val="true"/>
          <w:sz w:val="30"/>
        </w:rPr>
        <w:t xml:space="preserve"> 的引入：方差的控制变量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为了稳定梯度，我们引入一个</w:t>
      </w:r>
      <w:r>
        <w:rPr>
          <w:rFonts w:eastAsia="等线" w:ascii="Arial" w:cs="Arial" w:hAnsi="Arial"/>
          <w:b w:val="true"/>
          <w:sz w:val="22"/>
        </w:rPr>
        <w:t xml:space="preserve">基线函数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b(s)</m:t>
          </m:r>
        </m:oMath>
      </m:oMathPara>
      <w:r>
        <w:rPr>
          <w:rFonts w:eastAsia="等线" w:ascii="Arial" w:cs="Arial" w:hAnsi="Arial"/>
          <w:sz w:val="22"/>
        </w:rPr>
        <w:t xml:space="preserve">，它只依赖于当前状态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。我们将回报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sz w:val="22"/>
        </w:rPr>
        <w:t xml:space="preserve"> 替换为</w:t>
      </w:r>
      <w:r>
        <w:rPr>
          <w:rFonts w:eastAsia="等线" w:ascii="Arial" w:cs="Arial" w:hAnsi="Arial"/>
          <w:b w:val="true"/>
          <w:sz w:val="22"/>
        </w:rPr>
        <w:t>优势函数（Advantage）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基线策略梯度 (Eq. 22)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d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m:rPr>
              <m:nor/>
            </m:rPr>
            <w:rPr>
              <w:rFonts w:ascii="Cambria Math" w:hAnsi="Cambria Math"/>
            </w:rPr>
            <m:t>(Eq. 22)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基线的直观意义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)=R(τ)−b(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代表了“这次的实际总分” 减去 </w:t>
      </w:r>
      <w:r>
        <w:rPr>
          <w:rFonts w:eastAsia="等线" w:ascii="Arial" w:cs="Arial" w:hAnsi="Arial"/>
          <w:b w:val="true"/>
          <w:sz w:val="22"/>
        </w:rPr>
        <w:t>“我期望的平均分”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，说明这次的表现比“平均水平”好，应该增加该动作的概率。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A&lt;0</m:t>
          </m:r>
        </m:oMath>
      </m:oMathPara>
      <w:r>
        <w:rPr>
          <w:rFonts w:eastAsia="等线" w:ascii="Arial" w:cs="Arial" w:hAnsi="Arial"/>
          <w:sz w:val="22"/>
        </w:rPr>
        <w:t>，说明这次的表现比“平均水平”差，应该减小该动作的概率。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为什么基线不引入偏差？ (Unbiased Property)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关键在于数学推导（见 </w:t>
      </w:r>
      <w:r>
        <w:rPr>
          <w:rFonts w:eastAsia="等线" w:ascii="Arial" w:cs="Arial" w:hAnsi="Arial"/>
          <w:b w:val="true"/>
          <w:sz w:val="22"/>
        </w:rPr>
        <w:t>Eq. 23, 24, 25</w:t>
      </w:r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：将基线项和回报项分开。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−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核心定理</w:t>
      </w:r>
      <w:r>
        <w:rPr>
          <w:rFonts w:eastAsia="等线" w:ascii="Arial" w:cs="Arial" w:hAnsi="Arial"/>
          <w:sz w:val="22"/>
        </w:rPr>
        <w:t>：基于“得分函数恒为零”的性质：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∼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(⋅|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  <m:r>
                <w:rPr>
                  <w:rFonts w:ascii="Cambria Math" w:hAnsi="Cambria Math"/>
                </w:rPr>
                <m:t>[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]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推导结果</w:t>
      </w:r>
      <w:r>
        <w:rPr>
          <w:rFonts w:eastAsia="等线" w:ascii="Arial" w:cs="Arial" w:hAnsi="Arial"/>
          <w:sz w:val="22"/>
        </w:rPr>
        <w:t>：通过一系列代换，我们证明了</w:t>
      </w:r>
      <w:r>
        <w:rPr>
          <w:rFonts w:eastAsia="等线" w:ascii="Arial" w:cs="Arial" w:hAnsi="Arial"/>
          <w:b w:val="true"/>
          <w:sz w:val="22"/>
        </w:rPr>
        <w:t xml:space="preserve">基线项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w:rPr>
              <w:rFonts w:ascii="Cambria Math" w:hAnsi="Cambria Math"/>
            </w:rPr>
            <m:t>[…b(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恒等于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最终结论 (Eq. 25)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∑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−0=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：减去一个只依赖于状态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的基线项，</w:t>
      </w:r>
      <w:r>
        <w:rPr>
          <w:rFonts w:eastAsia="等线" w:ascii="Arial" w:cs="Arial" w:hAnsi="Arial"/>
          <w:b w:val="true"/>
          <w:sz w:val="22"/>
        </w:rPr>
        <w:t>并不会改变梯度的期望值</w:t>
      </w:r>
      <w:r>
        <w:rPr>
          <w:rFonts w:eastAsia="等线" w:ascii="Arial" w:cs="Arial" w:hAnsi="Arial"/>
          <w:sz w:val="22"/>
        </w:rPr>
        <w:t>，因此梯度估计仍然是</w:t>
      </w:r>
      <w:r>
        <w:rPr>
          <w:rFonts w:eastAsia="等线" w:ascii="Arial" w:cs="Arial" w:hAnsi="Arial"/>
          <w:b w:val="true"/>
          <w:sz w:val="22"/>
        </w:rPr>
        <w:t>无偏的（Unbiased）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三、 最佳实践：选择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</m:t>
          </m:r>
        </m:oMath>
      </m:oMathPara>
      <w:r>
        <w:rPr>
          <w:rFonts w:eastAsia="等线" w:ascii="Arial" w:cs="Arial" w:hAnsi="Arial"/>
          <w:b w:val="true"/>
          <w:sz w:val="30"/>
        </w:rPr>
        <w:t xml:space="preserve"> 作为基线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常见选择</w:t>
      </w:r>
      <w:r>
        <w:rPr>
          <w:rFonts w:eastAsia="等线" w:ascii="Arial" w:cs="Arial" w:hAnsi="Arial"/>
          <w:sz w:val="22"/>
        </w:rPr>
        <w:t>：基线通常被设为</w:t>
      </w:r>
      <w:r>
        <w:rPr>
          <w:rFonts w:eastAsia="等线" w:ascii="Arial" w:cs="Arial" w:hAnsi="Arial"/>
          <w:b w:val="true"/>
          <w:sz w:val="22"/>
        </w:rPr>
        <w:t>当前策略下的状态价值函数估计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w:rPr>
              <w:rFonts w:ascii="Cambria Math" w:hAnsi="Cambria Math"/>
            </w:rPr>
            <m:t>[R(τ)|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=s]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这代表了在当前状态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处，</w:t>
      </w:r>
      <w:r>
        <w:rPr>
          <w:rFonts w:eastAsia="等线" w:ascii="Arial" w:cs="Arial" w:hAnsi="Arial"/>
          <w:b w:val="true"/>
          <w:sz w:val="22"/>
        </w:rPr>
        <w:t>遵循当前策略平均能拿到的期望分数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直观意义</w:t>
      </w:r>
      <w:r>
        <w:rPr>
          <w:rFonts w:eastAsia="等线" w:ascii="Arial" w:cs="Arial" w:hAnsi="Arial"/>
          <w:sz w:val="22"/>
        </w:rPr>
        <w:t xml:space="preserve">：优势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A(s,a)</m:t>
          </m:r>
        </m:oMath>
      </m:oMathPara>
      <w:r>
        <w:rPr>
          <w:rFonts w:eastAsia="等线" w:ascii="Arial" w:cs="Arial" w:hAnsi="Arial"/>
          <w:sz w:val="22"/>
        </w:rPr>
        <w:t xml:space="preserve"> 衡量的是：</w:t>
      </w:r>
      <w:r>
        <w:rPr>
          <w:rFonts w:eastAsia="等线" w:ascii="Arial" w:cs="Arial" w:hAnsi="Arial"/>
          <w:b w:val="true"/>
          <w:sz w:val="22"/>
        </w:rPr>
        <w:t xml:space="preserve">“我这次实际拿到的总分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R(τ)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，比我期望的平均水平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好多少？”</w:t>
      </w:r>
      <w:r>
        <w:rPr>
          <w:rFonts w:eastAsia="等线" w:ascii="Arial" w:cs="Arial" w:hAnsi="Arial"/>
          <w:sz w:val="22"/>
        </w:rPr>
        <w:t xml:space="preserve"> 如果比预期的好，就多鼓励；如果比预期的差，就少鼓励。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 策略梯度“损失”（Loss）的实现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在强化学习（RL）中，我们优化的目标是</w:t>
      </w:r>
      <w:r>
        <w:rPr>
          <w:rFonts w:eastAsia="等线" w:ascii="Arial" w:cs="Arial" w:hAnsi="Arial"/>
          <w:b w:val="true"/>
          <w:sz w:val="22"/>
        </w:rPr>
        <w:t xml:space="preserve">最大化回报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J(θ)</m:t>
          </m:r>
        </m:oMath>
      </m:oMathPara>
      <w:r>
        <w:rPr>
          <w:rFonts w:eastAsia="等线" w:ascii="Arial" w:cs="Arial" w:hAnsi="Arial"/>
          <w:sz w:val="22"/>
        </w:rPr>
        <w:t xml:space="preserve">，而不是最小化一个“损失函数”。因此，RL 算法中的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loss</m:t>
          </m:r>
        </m:oMath>
      </m:oMathPara>
      <w:r>
        <w:rPr>
          <w:rFonts w:eastAsia="等线" w:ascii="Arial" w:cs="Arial" w:hAnsi="Arial"/>
          <w:sz w:val="22"/>
        </w:rPr>
        <w:t xml:space="preserve"> 与监督学习（SFT）中的 Cross-Entropy Loss有本质区别。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loss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的定义与本质 (Eq. 26)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pg_loss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|</m:t>
          </m:r>
          <m:sSubSup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)(R(</m:t>
          </m:r>
          <m:sSup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)−b(</m:t>
          </m:r>
          <m:sSubSup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))</m:t>
          </m:r>
          <m:r>
            <m:rPr>
              <m:nor/>
            </m:rPr>
            <w:rPr>
              <w:rFonts w:ascii="Cambria Math" w:hAnsi="Cambria Math"/>
            </w:rPr>
            <m:t>(Eq. 26)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</w:t>
      </w:r>
      <w:r>
        <w:rPr>
          <w:rFonts w:eastAsia="等线" w:ascii="Arial" w:cs="Arial" w:hAnsi="Arial"/>
          <w:sz w:val="22"/>
        </w:rPr>
        <w:t xml:space="preserve">：代理损失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loss</m:t>
          </m:r>
        </m:oMath>
      </m:oMathPara>
      <w:r>
        <w:rPr>
          <w:rFonts w:eastAsia="等线" w:ascii="Arial" w:cs="Arial" w:hAnsi="Arial"/>
          <w:sz w:val="22"/>
        </w:rPr>
        <w:t xml:space="preserve"> 的梯度（即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pg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loss</m:t>
          </m:r>
        </m:oMath>
      </m:oMathPara>
      <w:r>
        <w:rPr>
          <w:rFonts w:eastAsia="等线" w:ascii="Arial" w:cs="Arial" w:hAnsi="Arial"/>
          <w:sz w:val="22"/>
        </w:rPr>
        <w:t xml:space="preserve">）在数学上等价于我们推导出的策略梯度估计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 xml:space="preserve">：在 PyTorch 中，我们定义一个标量 </w:t>
      </w:r>
      <w:r>
        <w:rPr>
          <w:rFonts w:eastAsia="Consolas" w:ascii="Consolas" w:cs="Consolas" w:hAnsi="Consolas"/>
          <w:sz w:val="22"/>
          <w:shd w:fill="EFF0F1"/>
        </w:rPr>
        <w:t>pg_loss</w:t>
      </w:r>
      <w:r>
        <w:rPr>
          <w:rFonts w:eastAsia="等线" w:ascii="Arial" w:cs="Arial" w:hAnsi="Arial"/>
          <w:sz w:val="22"/>
        </w:rPr>
        <w:t xml:space="preserve">，然后调用 </w:t>
      </w:r>
      <w:r>
        <w:rPr>
          <w:rFonts w:eastAsia="Consolas" w:ascii="Consolas" w:cs="Consolas" w:hAnsi="Consolas"/>
          <w:sz w:val="22"/>
          <w:shd w:fill="EFF0F1"/>
        </w:rPr>
        <w:t>pg_loss.backward()</w:t>
      </w:r>
      <w:r>
        <w:rPr>
          <w:rFonts w:eastAsia="等线" w:ascii="Arial" w:cs="Arial" w:hAnsi="Arial"/>
          <w:sz w:val="22"/>
        </w:rPr>
        <w:t xml:space="preserve">。反向传播时，PyTorch 会自动计算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pg_loss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，这个梯度值就等于我们计算出的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2. 为什么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loss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不是一个“真正”的损失函数？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SFT（监督学习）中，Loss 的大小衡量的是“你的预测离标准答案有多远”。你离答案越近，Loss 越小。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在策略梯度（RL）中，</w:t>
      </w:r>
      <w:r>
        <w:rPr>
          <w:rFonts w:eastAsia="Consolas" w:ascii="Consolas" w:cs="Consolas" w:hAnsi="Consolas"/>
          <w:sz w:val="22"/>
          <w:shd w:fill="EFF0F1"/>
        </w:rPr>
        <w:t>pg_loss</w:t>
      </w:r>
      <w:r>
        <w:rPr>
          <w:rFonts w:eastAsia="等线" w:ascii="Arial" w:cs="Arial" w:hAnsi="Arial"/>
          <w:sz w:val="22"/>
        </w:rPr>
        <w:t xml:space="preserve"> 的大小衡量的是“这次梯度的拉扯力度有多大”。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3.真正有意义的评估指标 (Meaningful Metrics)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RL 训练中，我们关注的是</w:t>
      </w:r>
      <w:r>
        <w:rPr>
          <w:rFonts w:eastAsia="等线" w:ascii="Arial" w:cs="Arial" w:hAnsi="Arial"/>
          <w:b w:val="true"/>
          <w:sz w:val="22"/>
        </w:rPr>
        <w:t>最终目标</w:t>
      </w:r>
      <w:r>
        <w:rPr>
          <w:rFonts w:eastAsia="等线" w:ascii="Arial" w:cs="Arial" w:hAnsi="Arial"/>
          <w:sz w:val="22"/>
        </w:rPr>
        <w:t>是否达成，而不是优化工具本身的状态。因此，我们必须持续监控：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Train Reward / Validation Reward</w:t>
      </w:r>
      <w:r>
        <w:rPr>
          <w:rFonts w:eastAsia="等线" w:ascii="Arial" w:cs="Arial" w:hAnsi="Arial"/>
          <w:sz w:val="22"/>
        </w:rPr>
        <w:t>：模型在当前策略下，</w:t>
      </w:r>
      <w:r>
        <w:rPr>
          <w:rFonts w:eastAsia="等线" w:ascii="Arial" w:cs="Arial" w:hAnsi="Arial"/>
          <w:b w:val="true"/>
          <w:sz w:val="22"/>
        </w:rPr>
        <w:t>实际平均能拿多少分</w:t>
      </w:r>
      <w:r>
        <w:rPr>
          <w:rFonts w:eastAsia="等线" w:ascii="Arial" w:cs="Arial" w:hAnsi="Arial"/>
          <w:sz w:val="22"/>
        </w:rPr>
        <w:t>。这是衡量策略优劣的唯一标准。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Entropy</w:t>
      </w:r>
      <w:r>
        <w:rPr>
          <w:rFonts w:eastAsia="等线" w:ascii="Arial" w:cs="Arial" w:hAnsi="Arial"/>
          <w:sz w:val="22"/>
        </w:rPr>
        <w:t>：衡量探索的多样性，防止模式坍缩。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3481">
    <w:lvl>
      <w:start w:val="1"/>
      <w:numFmt w:val="decimal"/>
      <w:suff w:val="tab"/>
      <w:lvlText w:val="%1."/>
      <w:rPr>
        <w:color w:val="3370ff"/>
      </w:rPr>
    </w:lvl>
  </w:abstractNum>
  <w:abstractNum w:abstractNumId="673482">
    <w:lvl>
      <w:start w:val="2"/>
      <w:numFmt w:val="decimal"/>
      <w:suff w:val="tab"/>
      <w:lvlText w:val="%1."/>
      <w:rPr>
        <w:color w:val="3370ff"/>
      </w:rPr>
    </w:lvl>
  </w:abstractNum>
  <w:abstractNum w:abstractNumId="673483">
    <w:lvl>
      <w:start w:val="3"/>
      <w:numFmt w:val="decimal"/>
      <w:suff w:val="tab"/>
      <w:lvlText w:val="%1."/>
      <w:rPr>
        <w:color w:val="3370ff"/>
      </w:rPr>
    </w:lvl>
  </w:abstractNum>
  <w:abstractNum w:abstractNumId="673484">
    <w:lvl>
      <w:start w:val="4"/>
      <w:numFmt w:val="decimal"/>
      <w:suff w:val="tab"/>
      <w:lvlText w:val="%1."/>
      <w:rPr>
        <w:color w:val="3370ff"/>
      </w:rPr>
    </w:lvl>
  </w:abstractNum>
  <w:abstractNum w:abstractNumId="673485">
    <w:lvl>
      <w:numFmt w:val="bullet"/>
      <w:suff w:val="tab"/>
      <w:lvlText w:val="•"/>
      <w:rPr>
        <w:color w:val="3370ff"/>
      </w:rPr>
    </w:lvl>
  </w:abstractNum>
  <w:abstractNum w:abstractNumId="673486">
    <w:lvl>
      <w:numFmt w:val="bullet"/>
      <w:suff w:val="tab"/>
      <w:lvlText w:val="•"/>
      <w:rPr>
        <w:color w:val="3370ff"/>
      </w:rPr>
    </w:lvl>
  </w:abstractNum>
  <w:abstractNum w:abstractNumId="673487">
    <w:lvl>
      <w:numFmt w:val="bullet"/>
      <w:suff w:val="tab"/>
      <w:lvlText w:val="•"/>
      <w:rPr>
        <w:color w:val="3370ff"/>
      </w:rPr>
    </w:lvl>
  </w:abstractNum>
  <w:abstractNum w:abstractNumId="673488">
    <w:lvl>
      <w:numFmt w:val="bullet"/>
      <w:suff w:val="tab"/>
      <w:lvlText w:val="•"/>
      <w:rPr>
        <w:color w:val="3370ff"/>
      </w:rPr>
    </w:lvl>
  </w:abstractNum>
  <w:abstractNum w:abstractNumId="673489">
    <w:lvl>
      <w:numFmt w:val="bullet"/>
      <w:suff w:val="tab"/>
      <w:lvlText w:val="•"/>
      <w:rPr>
        <w:color w:val="3370ff"/>
      </w:rPr>
    </w:lvl>
  </w:abstractNum>
  <w:abstractNum w:abstractNumId="673490">
    <w:lvl>
      <w:numFmt w:val="bullet"/>
      <w:suff w:val="tab"/>
      <w:lvlText w:val="•"/>
      <w:rPr>
        <w:color w:val="3370ff"/>
      </w:rPr>
    </w:lvl>
  </w:abstractNum>
  <w:abstractNum w:abstractNumId="673491">
    <w:lvl>
      <w:numFmt w:val="bullet"/>
      <w:suff w:val="tab"/>
      <w:lvlText w:val="•"/>
      <w:rPr>
        <w:color w:val="3370ff"/>
      </w:rPr>
    </w:lvl>
  </w:abstractNum>
  <w:abstractNum w:abstractNumId="673492">
    <w:lvl>
      <w:numFmt w:val="bullet"/>
      <w:suff w:val="tab"/>
      <w:lvlText w:val="•"/>
      <w:rPr>
        <w:color w:val="3370ff"/>
      </w:rPr>
    </w:lvl>
  </w:abstractNum>
  <w:abstractNum w:abstractNumId="673493">
    <w:lvl>
      <w:numFmt w:val="bullet"/>
      <w:suff w:val="tab"/>
      <w:lvlText w:val="•"/>
      <w:rPr>
        <w:color w:val="3370ff"/>
      </w:rPr>
    </w:lvl>
  </w:abstractNum>
  <w:abstractNum w:abstractNumId="673494">
    <w:lvl>
      <w:numFmt w:val="bullet"/>
      <w:suff w:val="tab"/>
      <w:lvlText w:val="•"/>
      <w:rPr>
        <w:color w:val="3370ff"/>
      </w:rPr>
    </w:lvl>
  </w:abstractNum>
  <w:abstractNum w:abstractNumId="673495">
    <w:lvl>
      <w:numFmt w:val="bullet"/>
      <w:suff w:val="tab"/>
      <w:lvlText w:val="•"/>
      <w:rPr>
        <w:color w:val="3370ff"/>
      </w:rPr>
    </w:lvl>
  </w:abstractNum>
  <w:abstractNum w:abstractNumId="673496">
    <w:lvl>
      <w:numFmt w:val="bullet"/>
      <w:suff w:val="tab"/>
      <w:lvlText w:val="•"/>
      <w:rPr>
        <w:color w:val="3370ff"/>
      </w:rPr>
    </w:lvl>
  </w:abstractNum>
  <w:abstractNum w:abstractNumId="673497">
    <w:lvl>
      <w:numFmt w:val="bullet"/>
      <w:suff w:val="tab"/>
      <w:lvlText w:val="•"/>
      <w:rPr>
        <w:color w:val="3370ff"/>
      </w:rPr>
    </w:lvl>
  </w:abstractNum>
  <w:abstractNum w:abstractNumId="673498">
    <w:lvl>
      <w:numFmt w:val="bullet"/>
      <w:suff w:val="tab"/>
      <w:lvlText w:val="•"/>
      <w:rPr>
        <w:color w:val="3370ff"/>
      </w:rPr>
    </w:lvl>
  </w:abstractNum>
  <w:abstractNum w:abstractNumId="673499">
    <w:lvl>
      <w:numFmt w:val="bullet"/>
      <w:suff w:val="tab"/>
      <w:lvlText w:val="•"/>
      <w:rPr>
        <w:color w:val="3370ff"/>
      </w:rPr>
    </w:lvl>
  </w:abstractNum>
  <w:abstractNum w:abstractNumId="673500">
    <w:lvl>
      <w:start w:val="1"/>
      <w:numFmt w:val="decimal"/>
      <w:suff w:val="tab"/>
      <w:lvlText w:val="%1."/>
      <w:rPr>
        <w:color w:val="3370ff"/>
      </w:rPr>
    </w:lvl>
  </w:abstractNum>
  <w:abstractNum w:abstractNumId="67350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73481"/>
  </w:num>
  <w:num w:numId="2">
    <w:abstractNumId w:val="673482"/>
  </w:num>
  <w:num w:numId="3">
    <w:abstractNumId w:val="673483"/>
  </w:num>
  <w:num w:numId="4">
    <w:abstractNumId w:val="673484"/>
  </w:num>
  <w:num w:numId="5">
    <w:abstractNumId w:val="673485"/>
  </w:num>
  <w:num w:numId="6">
    <w:abstractNumId w:val="673486"/>
  </w:num>
  <w:num w:numId="7">
    <w:abstractNumId w:val="673487"/>
  </w:num>
  <w:num w:numId="8">
    <w:abstractNumId w:val="673488"/>
  </w:num>
  <w:num w:numId="9">
    <w:abstractNumId w:val="673489"/>
  </w:num>
  <w:num w:numId="10">
    <w:abstractNumId w:val="673490"/>
  </w:num>
  <w:num w:numId="11">
    <w:abstractNumId w:val="673491"/>
  </w:num>
  <w:num w:numId="12">
    <w:abstractNumId w:val="673492"/>
  </w:num>
  <w:num w:numId="13">
    <w:abstractNumId w:val="673493"/>
  </w:num>
  <w:num w:numId="14">
    <w:abstractNumId w:val="673494"/>
  </w:num>
  <w:num w:numId="15">
    <w:abstractNumId w:val="673495"/>
  </w:num>
  <w:num w:numId="16">
    <w:abstractNumId w:val="673496"/>
  </w:num>
  <w:num w:numId="17">
    <w:abstractNumId w:val="673497"/>
  </w:num>
  <w:num w:numId="18">
    <w:abstractNumId w:val="673498"/>
  </w:num>
  <w:num w:numId="19">
    <w:abstractNumId w:val="673499"/>
  </w:num>
  <w:num w:numId="20">
    <w:abstractNumId w:val="673500"/>
  </w:num>
  <w:num w:numId="21">
    <w:abstractNumId w:val="6735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2026-07-26T08:29:32Z</dcterms:created>
  <dc:creator>Apache POI</dc:creator>
</cp:coreProperties>
</file>