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5.1 GRPO 算法原理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掌握优势函数的新定义</w:t>
            </w:r>
            <w:r>
              <w:rPr>
                <w:rFonts w:eastAsia="等线" w:ascii="Arial" w:cs="Arial" w:hAnsi="Arial"/>
                <w:sz w:val="22"/>
              </w:rPr>
              <w:t>：理解 GRPO 如何通过组归一化（Group Normalization）替代神经网络估算价值。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目标函数</w:t>
            </w:r>
            <w:r>
              <w:rPr>
                <w:rFonts w:eastAsia="等线" w:ascii="Arial" w:cs="Arial" w:hAnsi="Arial"/>
                <w:sz w:val="22"/>
              </w:rPr>
              <w:t>： GRPO-Clip 的数学构造。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理解截断机制（Clipping）</w:t>
            </w:r>
            <w:r>
              <w:rPr>
                <w:rFonts w:eastAsia="等线" w:ascii="Arial" w:cs="Arial" w:hAnsi="Arial"/>
                <w:sz w:val="22"/>
              </w:rPr>
              <w:t>：通过分类讨论，理解模型如何通过限制更新幅度来维持稳定性。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理清算法流程</w:t>
            </w:r>
            <w:r>
              <w:rPr>
                <w:rFonts w:eastAsia="等线" w:ascii="Arial" w:cs="Arial" w:hAnsi="Arial"/>
                <w:sz w:val="22"/>
              </w:rPr>
              <w:t>：掌握从采样、奖励计算到多次梯度迭代的完整闭环。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基于组的优势估计 (Advantage Estimation)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在标准的 Actor-Critic 架构（如 PPO）中，我们需要训练一个额外的价值函数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(s)</m:t>
          </m:r>
        </m:oMath>
      </m:oMathPara>
      <w:r>
        <w:rPr>
          <w:rFonts w:eastAsia="等线" w:ascii="Arial" w:cs="Arial" w:hAnsi="Arial"/>
          <w:sz w:val="22"/>
        </w:rPr>
        <w:t xml:space="preserve"> 来预测状态价值。这不仅增加了一个训练同尺寸大模型 的显存开销，且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 xml:space="preserve"> 网络的训练本身就不稳定。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GRPO 的洞察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如果我们针对同一个问题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>，采样一组（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个）不同的输出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sSup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,</m:t>
          </m:r>
          <m:sSup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,…,</m:t>
          </m:r>
          <m:sSup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(G)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，那么这组样本本身的平均得分就可以作为一个天然的、准确的“基线（Baseline）”。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组归一化奖励公式 (Eq. 28)：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个输出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，其对应的优势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计算如下：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>
                <m:rPr>
                  <m:nor/>
                </m:rPr>
                <w:rPr>
                  <w:rFonts w:ascii="Cambria Math" w:hAnsi="Cambria Math"/>
                </w:rPr>
                <m:t>mean</m:t>
              </m:r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  <m:r>
                <w:rPr>
                  <w:rFonts w:ascii="Cambria Math" w:hAnsi="Cambria Math"/>
                </w:rPr>
                <m:t>,…,</m:t>
              </m:r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(G)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std</m:t>
              </m:r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  <m:r>
                <w:rPr>
                  <w:rFonts w:ascii="Cambria Math" w:hAnsi="Cambria Math"/>
                </w:rPr>
                <m:t>,…,</m:t>
              </m:r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(G)</m:t>
                  </m:r>
                </m:sup>
              </m:sSup>
              <m:r>
                <w:rPr>
                  <w:rFonts w:ascii="Cambria Math" w:hAnsi="Cambria Math"/>
                </w:rPr>
                <m:t>)+ϵ</m:t>
              </m:r>
            </m:den>
          </m:f>
          <m:r>
            <m:rPr>
              <m:nor/>
            </m:rPr>
            <w:rPr>
              <w:rFonts w:ascii="Cambria Math" w:hAnsi="Cambria Math"/>
            </w:rPr>
            <m:t>(Eq. 28)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=R(q,</m:t>
          </m:r>
          <m:sSup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：环境或奖励函数对第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个完整回复给出的原始奖励值。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mean</m:t>
          </m:r>
          <m:r>
            <w:rPr>
              <w:rFonts w:ascii="Cambria Math" w:hAnsi="Cambria Math"/>
            </w:rPr>
            <m:t>(r)</m:t>
          </m:r>
        </m:oMath>
      </m:oMathPara>
      <w:r>
        <w:rPr>
          <w:rFonts w:eastAsia="等线" w:ascii="Arial" w:cs="Arial" w:hAnsi="Arial"/>
          <w:sz w:val="22"/>
        </w:rPr>
        <w:t xml:space="preserve">：这一组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个样本的平均得分。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std</m:t>
          </m:r>
          <m:r>
            <w:rPr>
              <w:rFonts w:ascii="Cambria Math" w:hAnsi="Cambria Math"/>
            </w:rPr>
            <m:t>(r)</m:t>
          </m:r>
        </m:oMath>
      </m:oMathPara>
      <w:r>
        <w:rPr>
          <w:rFonts w:eastAsia="等线" w:ascii="Arial" w:cs="Arial" w:hAnsi="Arial"/>
          <w:sz w:val="22"/>
        </w:rPr>
        <w:t>：这一组样本得分的标准差。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</m:t>
          </m:r>
        </m:oMath>
      </m:oMathPara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advantage_eps</w:t>
      </w:r>
      <w:r>
        <w:rPr>
          <w:rFonts w:eastAsia="等线" w:ascii="Arial" w:cs="Arial" w:hAnsi="Arial"/>
          <w:sz w:val="22"/>
        </w:rPr>
        <w:t>)：一个极小的常数，防止分母为 0。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物理含义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不再是一个绝对值，而是一个</w:t>
      </w:r>
      <w:r>
        <w:rPr>
          <w:rFonts w:eastAsia="等线" w:ascii="Arial" w:cs="Arial" w:hAnsi="Arial"/>
          <w:b w:val="true"/>
          <w:sz w:val="22"/>
        </w:rPr>
        <w:t>相对值</w:t>
      </w:r>
      <w:r>
        <w:rPr>
          <w:rFonts w:eastAsia="等线" w:ascii="Arial" w:cs="Arial" w:hAnsi="Arial"/>
          <w:sz w:val="22"/>
        </w:rPr>
        <w:t>。它告诉模型：这个回答在这一组“同班同学”里表现得比平均水平好多少。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 xml:space="preserve">：在 GRPO 中，同一条回复内的所有 Token 共享同一个优势值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GRPO-Clip 目标函数 (Objective Function)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GRPO 结合了异策略（Off-policy）梯度、组优势估计以及 PPO 的截断机制。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完整目标函数 (Eq. 29)：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GRPO-Clip</m:t>
              </m:r>
            </m:sub>
          </m:sSub>
          <m:r>
            <w:rPr>
              <w:rFonts w:ascii="Cambria Math" w:hAnsi="Cambria Math"/>
            </w:rPr>
            <m:t>(θ)=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q∼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,{</m:t>
              </m:r>
              <m:sSup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  <m:sSubSup>
                <m:e>
                  <m:r>
                    <w:rPr>
                      <w:rFonts w:ascii="Cambria Math" w:hAnsi="Cambria Math"/>
                    </w:rPr>
                    <m:t>}</m:t>
                  </m:r>
                </m:e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G</m:t>
                  </m:r>
                </m:sup>
              </m:sSubSup>
              <m:r>
                <w:rPr>
                  <w:rFonts w:ascii="Cambria Math" w:hAnsi="Cambria Math"/>
                </w:rPr>
                <m:t>∼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(⋅|q)</m:t>
              </m:r>
            </m:sub>
          </m:sSub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G</m:t>
                  </m:r>
                </m:sup>
                <m:e/>
              </m:nary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|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/>
                    </w:rPr>
                    <m:t>|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|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/>
                    </w:rPr>
                    <m:t>|</m:t>
                  </m:r>
                </m:sup>
                <m:e/>
              </m:nary>
              <m:r>
                <m:rPr>
                  <m:nor/>
                </m:rPr>
                <w:rPr>
                  <w:rFonts w:ascii="Cambria Math" w:hAnsi="Cambria Math"/>
                </w:rPr>
                <m:t>per-token objective</m:t>
              </m:r>
            </m:e>
          </m:d>
          <m:r>
            <m:rPr>
              <m:nor/>
            </m:rPr>
            <w:rPr>
              <w:rFonts w:ascii="Cambria Math" w:hAnsi="Cambria Math"/>
            </w:rPr>
            <m:t>(Eq. 29)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</w:t>
      </w:r>
      <w:r>
        <w:rPr>
          <w:rFonts w:eastAsia="等线" w:ascii="Arial" w:cs="Arial" w:hAnsi="Arial"/>
          <w:b w:val="true"/>
          <w:sz w:val="22"/>
        </w:rPr>
        <w:t>逐 Token 目标项（per-token objective）</w:t>
      </w:r>
      <w:r>
        <w:rPr>
          <w:rFonts w:eastAsia="等线" w:ascii="Arial" w:cs="Arial" w:hAnsi="Arial"/>
          <w:sz w:val="22"/>
        </w:rPr>
        <w:t xml:space="preserve"> 定义为：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min</m:t>
          </m:r>
          <m:d>
            <m:e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|q,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&lt;t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|q,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&lt;t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clip</m:t>
              </m:r>
              <m:d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(i)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|q,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&lt;t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(i)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old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(i)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|q,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&lt;t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(i)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ϵ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ϵ</m:t>
                  </m:r>
                </m:e>
              </m:d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概率比率（Ratio）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|…)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|…)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。它衡量了新策略相对于旧策略在某一点的概率偏移。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双重求和</w:t>
      </w:r>
      <w:r>
        <w:rPr>
          <w:rFonts w:eastAsia="等线" w:ascii="Arial" w:cs="Arial" w:hAnsi="Arial"/>
          <w:sz w:val="22"/>
        </w:rPr>
        <w:t>：外层对组（Group）求平均，内层对回复长度（Token）求平均。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 截断机制的数学理解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为了理解 </w:t>
      </w:r>
      <w:r>
        <w:rPr>
          <w:rFonts w:eastAsia="Consolas" w:ascii="Consolas" w:cs="Consolas" w:hAnsi="Consolas"/>
          <w:sz w:val="22"/>
          <w:shd w:fill="EFF0F1"/>
        </w:rPr>
        <w:t>min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clip</w:t>
      </w:r>
      <w:r>
        <w:rPr>
          <w:rFonts w:eastAsia="等线" w:ascii="Arial" w:cs="Arial" w:hAnsi="Arial"/>
          <w:sz w:val="22"/>
        </w:rPr>
        <w:t xml:space="preserve"> 为什么能让训练稳定，我们引入辅助函数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g(ϵ,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(Eq. 30)：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g(ϵ,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(1+ϵ)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if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(1−ϵ)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if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&lt;0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</w:rPr>
            <m:t>(Eq. 30)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 xml:space="preserve">1. 当优势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&gt;0</m:t>
          </m:r>
        </m:oMath>
      </m:oMathPara>
      <w:r>
        <w:rPr>
          <w:rFonts w:eastAsia="等线" w:ascii="Arial" w:cs="Arial" w:hAnsi="Arial"/>
          <w:b w:val="true"/>
          <w:sz w:val="28"/>
        </w:rPr>
        <w:t>（表现优于组平均）：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此时目标函数变为：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per-token objective</m:t>
          </m:r>
          <m:r>
            <w:rPr>
              <w:rFonts w:ascii="Cambria Math" w:hAnsi="Cambria Math"/>
            </w:rPr>
            <m:t>=min</m:t>
          </m:r>
          <m:d>
            <m:e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</m:sub>
                  </m:sSub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ϵ</m:t>
              </m:r>
            </m:e>
          </m:d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 xml:space="preserve">：由于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为正，模型会试图通过</w:t>
      </w:r>
      <w:r>
        <w:rPr>
          <w:rFonts w:eastAsia="等线" w:ascii="Arial" w:cs="Arial" w:hAnsi="Arial"/>
          <w:b w:val="true"/>
          <w:sz w:val="22"/>
        </w:rPr>
        <w:t>增加</w:t>
      </w:r>
      <w:r>
        <w:rPr>
          <w:rFonts w:eastAsia="等线" w:ascii="Arial" w:cs="Arial" w:hAnsi="Arial"/>
          <w:sz w:val="22"/>
        </w:rPr>
        <w:t xml:space="preserve">新策略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的概率来增大目标函数。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</w:t>
      </w:r>
      <w:r>
        <w:rPr>
          <w:rFonts w:eastAsia="等线" w:ascii="Arial" w:cs="Arial" w:hAnsi="Arial"/>
          <w:sz w:val="22"/>
        </w:rPr>
        <w:t xml:space="preserve">：一旦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增长到超过旧策略的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1+ϵ</m:t>
          </m:r>
        </m:oMath>
      </m:oMathPara>
      <w:r>
        <w:rPr>
          <w:rFonts w:eastAsia="等线" w:ascii="Arial" w:cs="Arial" w:hAnsi="Arial"/>
          <w:sz w:val="22"/>
        </w:rPr>
        <w:t xml:space="preserve"> 倍，</w:t>
      </w:r>
      <w:r>
        <w:rPr>
          <w:rFonts w:eastAsia="Consolas" w:ascii="Consolas" w:cs="Consolas" w:hAnsi="Consolas"/>
          <w:sz w:val="22"/>
          <w:shd w:fill="EFF0F1"/>
        </w:rPr>
        <w:t>min</w:t>
      </w:r>
      <w:r>
        <w:rPr>
          <w:rFonts w:eastAsia="等线" w:ascii="Arial" w:cs="Arial" w:hAnsi="Arial"/>
          <w:sz w:val="22"/>
        </w:rPr>
        <w:t xml:space="preserve"> 函数就会触发。目标函数值将锁死在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(1+ϵ)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：即使这个动作非常好，也不允许模型“毕其功于一役”地过度更新，防止参数跳出有效区域。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 xml:space="preserve">2. 当优势 </w:t>
      </w:r>
      <w:r>
        <w:rPr>
          <w:rFonts w:eastAsia="等线" w:ascii="Arial" w:cs="Arial" w:hAnsi="Arial"/>
          <w:b w:val="true"/>
          <w:sz w:val="28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&lt;0</m:t>
          </m:r>
        </m:oMath>
      </m:oMathPara>
      <w:r>
        <w:rPr>
          <w:rFonts w:eastAsia="等线" w:ascii="Arial" w:cs="Arial" w:hAnsi="Arial"/>
          <w:b w:val="true"/>
          <w:sz w:val="28"/>
        </w:rPr>
        <w:t>（表现差于组平均）：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此时模型试图减小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clip</w:t>
      </w:r>
      <w:r>
        <w:rPr>
          <w:rFonts w:eastAsia="等线" w:ascii="Arial" w:cs="Arial" w:hAnsi="Arial"/>
          <w:sz w:val="22"/>
        </w:rPr>
        <w:t xml:space="preserve"> 机制会将比率限制在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1−ϵ</m:t>
          </m:r>
        </m:oMath>
      </m:oMathPara>
      <w:r>
        <w:rPr>
          <w:rFonts w:eastAsia="等线" w:ascii="Arial" w:cs="Arial" w:hAnsi="Arial"/>
          <w:sz w:val="22"/>
        </w:rPr>
        <w:t>。一旦概率降得太低，更新也会停止。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：防止模型因为一次表现极差就彻底“抹杀”掉某个潜在的逻辑路径。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四、 完整算法流程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 xml:space="preserve">：设定初始策略模型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init</m:t>
                  </m:r>
                </m:sub>
              </m:sSub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，并复制给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迭代循环 (GRPO Steps)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采样</w:t>
      </w:r>
      <w:r>
        <w:rPr>
          <w:rFonts w:eastAsia="等线" w:ascii="Arial" w:cs="Arial" w:hAnsi="Arial"/>
          <w:sz w:val="22"/>
        </w:rPr>
        <w:t xml:space="preserve">：从问题集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中采样一个批次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保存快照</w:t>
      </w:r>
      <w:r>
        <w:rPr>
          <w:rFonts w:eastAsia="等线" w:ascii="Arial" w:cs="Arial" w:hAnsi="Arial"/>
          <w:sz w:val="22"/>
        </w:rPr>
        <w:t xml:space="preserve">：将当前模型设为旧策略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  <m:r>
            <w:rPr>
              <w:rFonts w:ascii="Cambria Math" w:hAnsi="Cambria Math"/>
            </w:rPr>
            <m:t>←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组采样 (Rollout)</w:t>
      </w:r>
      <w:r>
        <w:rPr>
          <w:rFonts w:eastAsia="等线" w:ascii="Arial" w:cs="Arial" w:hAnsi="Arial"/>
          <w:sz w:val="22"/>
        </w:rPr>
        <w:t xml:space="preserve">：针对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中的每个问题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，利用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采样生成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个回复。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打分 (Reward)</w:t>
      </w:r>
      <w:r>
        <w:rPr>
          <w:rFonts w:eastAsia="等线" w:ascii="Arial" w:cs="Arial" w:hAnsi="Arial"/>
          <w:sz w:val="22"/>
        </w:rPr>
        <w:t xml:space="preserve">：通过奖励函数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计算这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 个回复的原始奖励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归一化</w:t>
      </w:r>
      <w:r>
        <w:rPr>
          <w:rFonts w:eastAsia="等线" w:ascii="Arial" w:cs="Arial" w:hAnsi="Arial"/>
          <w:sz w:val="22"/>
        </w:rPr>
        <w:t xml:space="preserve">：按照 Eq. 28 计算组内相对优势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内部优化 (Inner Train Steps)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对这批固定的采样数据进行多次梯度迭代（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train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steps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per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rollout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通过最大化 Eq. 29 的目标函数更新参数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 xml:space="preserve">：得到优化后的策略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0755">
    <w:lvl>
      <w:start w:val="1"/>
      <w:numFmt w:val="decimal"/>
      <w:suff w:val="tab"/>
      <w:lvlText w:val="%1."/>
      <w:rPr>
        <w:color w:val="3370ff"/>
      </w:rPr>
    </w:lvl>
  </w:abstractNum>
  <w:abstractNum w:abstractNumId="690756">
    <w:lvl>
      <w:start w:val="2"/>
      <w:numFmt w:val="decimal"/>
      <w:suff w:val="tab"/>
      <w:lvlText w:val="%1."/>
      <w:rPr>
        <w:color w:val="3370ff"/>
      </w:rPr>
    </w:lvl>
  </w:abstractNum>
  <w:abstractNum w:abstractNumId="690757">
    <w:lvl>
      <w:start w:val="3"/>
      <w:numFmt w:val="decimal"/>
      <w:suff w:val="tab"/>
      <w:lvlText w:val="%1."/>
      <w:rPr>
        <w:color w:val="3370ff"/>
      </w:rPr>
    </w:lvl>
  </w:abstractNum>
  <w:abstractNum w:abstractNumId="690758">
    <w:lvl>
      <w:start w:val="4"/>
      <w:numFmt w:val="decimal"/>
      <w:suff w:val="tab"/>
      <w:lvlText w:val="%1."/>
      <w:rPr>
        <w:color w:val="3370ff"/>
      </w:rPr>
    </w:lvl>
  </w:abstractNum>
  <w:abstractNum w:abstractNumId="690759">
    <w:lvl>
      <w:numFmt w:val="bullet"/>
      <w:suff w:val="tab"/>
      <w:lvlText w:val="•"/>
      <w:rPr>
        <w:color w:val="3370ff"/>
      </w:rPr>
    </w:lvl>
  </w:abstractNum>
  <w:abstractNum w:abstractNumId="690760">
    <w:lvl>
      <w:numFmt w:val="bullet"/>
      <w:suff w:val="tab"/>
      <w:lvlText w:val="￮"/>
      <w:rPr>
        <w:color w:val="3370ff"/>
      </w:rPr>
    </w:lvl>
  </w:abstractNum>
  <w:abstractNum w:abstractNumId="690761">
    <w:lvl>
      <w:numFmt w:val="bullet"/>
      <w:suff w:val="tab"/>
      <w:lvlText w:val="￮"/>
      <w:rPr>
        <w:color w:val="3370ff"/>
      </w:rPr>
    </w:lvl>
  </w:abstractNum>
  <w:abstractNum w:abstractNumId="690762">
    <w:lvl>
      <w:numFmt w:val="bullet"/>
      <w:suff w:val="tab"/>
      <w:lvlText w:val="￮"/>
      <w:rPr>
        <w:color w:val="3370ff"/>
      </w:rPr>
    </w:lvl>
  </w:abstractNum>
  <w:abstractNum w:abstractNumId="690763">
    <w:lvl>
      <w:numFmt w:val="bullet"/>
      <w:suff w:val="tab"/>
      <w:lvlText w:val="￮"/>
      <w:rPr>
        <w:color w:val="3370ff"/>
      </w:rPr>
    </w:lvl>
  </w:abstractNum>
  <w:abstractNum w:abstractNumId="690764">
    <w:lvl>
      <w:numFmt w:val="bullet"/>
      <w:suff w:val="tab"/>
      <w:lvlText w:val="•"/>
      <w:rPr>
        <w:color w:val="3370ff"/>
      </w:rPr>
    </w:lvl>
  </w:abstractNum>
  <w:abstractNum w:abstractNumId="690765">
    <w:lvl>
      <w:numFmt w:val="bullet"/>
      <w:suff w:val="tab"/>
      <w:lvlText w:val="•"/>
      <w:rPr>
        <w:color w:val="3370ff"/>
      </w:rPr>
    </w:lvl>
  </w:abstractNum>
  <w:abstractNum w:abstractNumId="690766">
    <w:lvl>
      <w:numFmt w:val="bullet"/>
      <w:suff w:val="tab"/>
      <w:lvlText w:val="•"/>
      <w:rPr>
        <w:color w:val="3370ff"/>
      </w:rPr>
    </w:lvl>
  </w:abstractNum>
  <w:abstractNum w:abstractNumId="690767">
    <w:lvl>
      <w:numFmt w:val="bullet"/>
      <w:suff w:val="tab"/>
      <w:lvlText w:val="•"/>
      <w:rPr>
        <w:color w:val="3370ff"/>
      </w:rPr>
    </w:lvl>
  </w:abstractNum>
  <w:abstractNum w:abstractNumId="690768">
    <w:lvl>
      <w:numFmt w:val="bullet"/>
      <w:suff w:val="tab"/>
      <w:lvlText w:val="•"/>
      <w:rPr>
        <w:color w:val="3370ff"/>
      </w:rPr>
    </w:lvl>
  </w:abstractNum>
  <w:abstractNum w:abstractNumId="690769">
    <w:lvl>
      <w:numFmt w:val="bullet"/>
      <w:suff w:val="tab"/>
      <w:lvlText w:val="•"/>
      <w:rPr>
        <w:color w:val="3370ff"/>
      </w:rPr>
    </w:lvl>
  </w:abstractNum>
  <w:abstractNum w:abstractNumId="690770">
    <w:lvl>
      <w:numFmt w:val="bullet"/>
      <w:suff w:val="tab"/>
      <w:lvlText w:val="•"/>
      <w:rPr>
        <w:color w:val="3370ff"/>
      </w:rPr>
    </w:lvl>
  </w:abstractNum>
  <w:abstractNum w:abstractNumId="690771">
    <w:lvl>
      <w:numFmt w:val="bullet"/>
      <w:suff w:val="tab"/>
      <w:lvlText w:val="•"/>
      <w:rPr>
        <w:color w:val="3370ff"/>
      </w:rPr>
    </w:lvl>
  </w:abstractNum>
  <w:abstractNum w:abstractNumId="690772">
    <w:lvl>
      <w:start w:val="1"/>
      <w:numFmt w:val="decimal"/>
      <w:suff w:val="tab"/>
      <w:lvlText w:val="%1."/>
      <w:rPr>
        <w:color w:val="3370ff"/>
      </w:rPr>
    </w:lvl>
  </w:abstractNum>
  <w:abstractNum w:abstractNumId="690773">
    <w:lvl>
      <w:start w:val="2"/>
      <w:numFmt w:val="decimal"/>
      <w:suff w:val="tab"/>
      <w:lvlText w:val="%1."/>
      <w:rPr>
        <w:color w:val="3370ff"/>
      </w:rPr>
    </w:lvl>
  </w:abstractNum>
  <w:abstractNum w:abstractNumId="690774">
    <w:lvl>
      <w:numFmt w:val="bullet"/>
      <w:suff w:val="tab"/>
      <w:lvlText w:val="￮"/>
      <w:rPr>
        <w:color w:val="3370ff"/>
      </w:rPr>
    </w:lvl>
  </w:abstractNum>
  <w:abstractNum w:abstractNumId="690775">
    <w:lvl>
      <w:numFmt w:val="bullet"/>
      <w:suff w:val="tab"/>
      <w:lvlText w:val="￮"/>
      <w:rPr>
        <w:color w:val="3370ff"/>
      </w:rPr>
    </w:lvl>
  </w:abstractNum>
  <w:abstractNum w:abstractNumId="690776">
    <w:lvl>
      <w:numFmt w:val="bullet"/>
      <w:suff w:val="tab"/>
      <w:lvlText w:val="￮"/>
      <w:rPr>
        <w:color w:val="3370ff"/>
      </w:rPr>
    </w:lvl>
  </w:abstractNum>
  <w:abstractNum w:abstractNumId="690777">
    <w:lvl>
      <w:numFmt w:val="bullet"/>
      <w:suff w:val="tab"/>
      <w:lvlText w:val="￮"/>
      <w:rPr>
        <w:color w:val="3370ff"/>
      </w:rPr>
    </w:lvl>
  </w:abstractNum>
  <w:abstractNum w:abstractNumId="690778">
    <w:lvl>
      <w:numFmt w:val="bullet"/>
      <w:suff w:val="tab"/>
      <w:lvlText w:val="￮"/>
      <w:rPr>
        <w:color w:val="3370ff"/>
      </w:rPr>
    </w:lvl>
  </w:abstractNum>
  <w:abstractNum w:abstractNumId="690779">
    <w:lvl>
      <w:numFmt w:val="bullet"/>
      <w:suff w:val="tab"/>
      <w:lvlText w:val="￮"/>
      <w:rPr>
        <w:color w:val="3370ff"/>
      </w:rPr>
    </w:lvl>
  </w:abstractNum>
  <w:abstractNum w:abstractNumId="690780">
    <w:lvl>
      <w:numFmt w:val="bullet"/>
      <w:suff w:val="tab"/>
      <w:lvlText w:val="▪"/>
      <w:rPr>
        <w:color w:val="3370ff"/>
        <w:sz w:val="11"/>
      </w:rPr>
    </w:lvl>
  </w:abstractNum>
  <w:abstractNum w:abstractNumId="690781">
    <w:lvl>
      <w:numFmt w:val="bullet"/>
      <w:suff w:val="tab"/>
      <w:lvlText w:val="▪"/>
      <w:rPr>
        <w:color w:val="3370ff"/>
        <w:sz w:val="11"/>
      </w:rPr>
    </w:lvl>
  </w:abstractNum>
  <w:abstractNum w:abstractNumId="69078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90755"/>
  </w:num>
  <w:num w:numId="2">
    <w:abstractNumId w:val="690756"/>
  </w:num>
  <w:num w:numId="3">
    <w:abstractNumId w:val="690757"/>
  </w:num>
  <w:num w:numId="4">
    <w:abstractNumId w:val="690758"/>
  </w:num>
  <w:num w:numId="5">
    <w:abstractNumId w:val="690759"/>
  </w:num>
  <w:num w:numId="6">
    <w:abstractNumId w:val="690760"/>
  </w:num>
  <w:num w:numId="7">
    <w:abstractNumId w:val="690761"/>
  </w:num>
  <w:num w:numId="8">
    <w:abstractNumId w:val="690762"/>
  </w:num>
  <w:num w:numId="9">
    <w:abstractNumId w:val="690763"/>
  </w:num>
  <w:num w:numId="10">
    <w:abstractNumId w:val="690764"/>
  </w:num>
  <w:num w:numId="11">
    <w:abstractNumId w:val="690765"/>
  </w:num>
  <w:num w:numId="12">
    <w:abstractNumId w:val="690766"/>
  </w:num>
  <w:num w:numId="13">
    <w:abstractNumId w:val="690767"/>
  </w:num>
  <w:num w:numId="14">
    <w:abstractNumId w:val="690768"/>
  </w:num>
  <w:num w:numId="15">
    <w:abstractNumId w:val="690769"/>
  </w:num>
  <w:num w:numId="16">
    <w:abstractNumId w:val="690770"/>
  </w:num>
  <w:num w:numId="17">
    <w:abstractNumId w:val="690771"/>
  </w:num>
  <w:num w:numId="18">
    <w:abstractNumId w:val="690772"/>
  </w:num>
  <w:num w:numId="19">
    <w:abstractNumId w:val="690773"/>
  </w:num>
  <w:num w:numId="20">
    <w:abstractNumId w:val="690774"/>
  </w:num>
  <w:num w:numId="21">
    <w:abstractNumId w:val="690775"/>
  </w:num>
  <w:num w:numId="22">
    <w:abstractNumId w:val="690776"/>
  </w:num>
  <w:num w:numId="23">
    <w:abstractNumId w:val="690777"/>
  </w:num>
  <w:num w:numId="24">
    <w:abstractNumId w:val="690778"/>
  </w:num>
  <w:num w:numId="25">
    <w:abstractNumId w:val="690779"/>
  </w:num>
  <w:num w:numId="26">
    <w:abstractNumId w:val="690780"/>
  </w:num>
  <w:num w:numId="27">
    <w:abstractNumId w:val="690781"/>
  </w:num>
  <w:num w:numId="28">
    <w:abstractNumId w:val="6907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2026-07-26T08:29:37Z</dcterms:created>
  <dc:creator>Apache POI</dc:creator>
</cp:coreProperties>
</file>