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5.2 组归一化奖励实现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掌握优势估计的实现细节</w:t>
            </w:r>
            <w:r>
              <w:rPr>
                <w:rFonts w:eastAsia="等线" w:ascii="Arial" w:cs="Arial" w:hAnsi="Arial"/>
                <w:sz w:val="22"/>
              </w:rPr>
              <w:t>：理解如何将原始奖励分数转化为策略梯度所需的优势值（Advantage）。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对比标准 GRPO（基于标准差）与简化版 GRPO（基于均值）的差异与适用场景。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理解训练稳定性</w:t>
            </w:r>
            <w:r>
              <w:rPr>
                <w:rFonts w:eastAsia="等线" w:ascii="Arial" w:cs="Arial" w:hAnsi="Arial"/>
                <w:sz w:val="22"/>
              </w:rPr>
              <w:t xml:space="preserve">：明确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eps</w:t>
            </w:r>
            <w:r>
              <w:rPr>
                <w:rFonts w:eastAsia="等线" w:ascii="Arial" w:cs="Arial" w:hAnsi="Arial"/>
                <w:sz w:val="22"/>
              </w:rPr>
              <w:t xml:space="preserve"> 项和标准差归一化对解决奖励信号稀疏问题的作用。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 核心逻辑：从绝对奖励到相对优势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优势计算的数学形式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标准版本 (Eq. 28)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(i)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m:rPr>
                  <m:nor/>
                </m:rPr>
                <w:rPr>
                  <w:rFonts w:ascii="Cambria Math" w:hAnsi="Cambria Math"/>
                </w:rPr>
                <m:t>mean</m:t>
              </m:r>
              <m:r>
                <w:rPr>
                  <w:rFonts w:ascii="Cambria Math" w:hAnsi="Cambria Math"/>
                </w:rPr>
                <m:t>(r)</m:t>
              </m:r>
            </m:num>
            <m:den>
              <m:r>
                <m:rPr>
                  <m:nor/>
                </m:rPr>
                <w:rPr>
                  <w:rFonts w:ascii="Cambria Math" w:hAnsi="Cambria Math"/>
                </w:rPr>
                <m:t>std</m:t>
              </m:r>
              <m:r>
                <w:rPr>
                  <w:rFonts w:ascii="Cambria Math" w:hAnsi="Cambria Math"/>
                </w:rPr>
                <m:t>(r)+ϵ</m:t>
              </m:r>
            </m:den>
          </m:f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通过减去均值并除以标准差，我们将该组奖励转化为一个均值为 0、标准差为 1 的分布。这不仅消除了环境带来的偏移，还统一了梯度的量级。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简化版本 (Eq. 31)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  <m:r>
            <w:rPr>
              <w:rFonts w:ascii="Cambria Math" w:hAnsi="Cambria Math"/>
            </w:rPr>
            <m:t>−</m:t>
          </m:r>
          <m:r>
            <m:rPr>
              <m:nor/>
            </m:rPr>
            <w:rPr>
              <w:rFonts w:ascii="Cambria Math" w:hAnsi="Cambria Math"/>
            </w:rPr>
            <m:t>mean</m:t>
          </m:r>
          <m:r>
            <w:rPr>
              <w:rFonts w:ascii="Cambria Math" w:hAnsi="Cambria Math"/>
            </w:rPr>
            <m:t>(r)</m:t>
          </m:r>
        </m:oMath>
      </m:oMathPara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由 Dr. GRPO (Liu et al. 2025) 提出。当一组内所有的回答得分非常接近时，标准差会趋近于 0，导致数值计算极其不稳定。此时，仅减去均值往往能获得更稳健的收敛效果。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 核心差异对比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梯度强度的自动缩放 (Gradient Scaling)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标准版</w:t>
      </w:r>
      <w:r>
        <w:rPr>
          <w:rFonts w:eastAsia="等线" w:ascii="Arial" w:cs="Arial" w:hAnsi="Arial"/>
          <w:sz w:val="22"/>
        </w:rPr>
        <w:t xml:space="preserve">：通过除以标准差，算法实现了梯度的缩放。无论问题的难度如何，或者奖励函数的原始量级是多少，最终得到的优势值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的分布总是接近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(0,1)</m:t>
          </m:r>
        </m:oMath>
      </m:oMathPara>
      <w:r>
        <w:rPr>
          <w:rFonts w:eastAsia="等线" w:ascii="Arial" w:cs="Arial" w:hAnsi="Arial"/>
          <w:sz w:val="22"/>
        </w:rPr>
        <w:t>。这意味着模型在所有问题上的“更新步长”是基本一致的。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简化版</w:t>
      </w:r>
      <w:r>
        <w:rPr>
          <w:rFonts w:eastAsia="等线" w:ascii="Arial" w:cs="Arial" w:hAnsi="Arial"/>
          <w:sz w:val="22"/>
        </w:rPr>
        <w:t>：梯度的量级直接取决于奖励值的</w:t>
      </w:r>
      <w:r>
        <w:rPr>
          <w:rFonts w:eastAsia="等线" w:ascii="Arial" w:cs="Arial" w:hAnsi="Arial"/>
          <w:b w:val="true"/>
          <w:sz w:val="22"/>
        </w:rPr>
        <w:t>绝对差异</w:t>
      </w:r>
      <w:r>
        <w:rPr>
          <w:rFonts w:eastAsia="等线" w:ascii="Arial" w:cs="Arial" w:hAnsi="Arial"/>
          <w:sz w:val="22"/>
        </w:rPr>
        <w:t xml:space="preserve">。如果一组回答的得分全为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1.0</m:t>
          </m:r>
        </m:oMath>
      </m:oMathPara>
      <w:r>
        <w:rPr>
          <w:rFonts w:eastAsia="等线" w:ascii="Arial" w:cs="Arial" w:hAnsi="Arial"/>
          <w:sz w:val="22"/>
        </w:rPr>
        <w:t xml:space="preserve"> 或全为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0.0</m:t>
          </m:r>
        </m:oMath>
      </m:oMathPara>
      <w:r>
        <w:rPr>
          <w:rFonts w:eastAsia="等线" w:ascii="Arial" w:cs="Arial" w:hAnsi="Arial"/>
          <w:sz w:val="22"/>
        </w:rPr>
        <w:t xml:space="preserve">，优势值将精确为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对“极难/极易”问题的权重分配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标准版</w:t>
      </w:r>
      <w:r>
        <w:rPr>
          <w:rFonts w:eastAsia="等线" w:ascii="Arial" w:cs="Arial" w:hAnsi="Arial"/>
          <w:sz w:val="22"/>
        </w:rPr>
        <w:t>：倾向于</w:t>
      </w:r>
      <w:r>
        <w:rPr>
          <w:rFonts w:eastAsia="等线" w:ascii="Arial" w:cs="Arial" w:hAnsi="Arial"/>
          <w:b w:val="true"/>
          <w:sz w:val="22"/>
        </w:rPr>
        <w:t>放大</w:t>
      </w:r>
      <w:r>
        <w:rPr>
          <w:rFonts w:eastAsia="等线" w:ascii="Arial" w:cs="Arial" w:hAnsi="Arial"/>
          <w:sz w:val="22"/>
        </w:rPr>
        <w:t>低方差样本的信号。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场景</w:t>
      </w:r>
      <w:r>
        <w:rPr>
          <w:rFonts w:eastAsia="等线" w:ascii="Arial" w:cs="Arial" w:hAnsi="Arial"/>
          <w:sz w:val="22"/>
        </w:rPr>
        <w:t xml:space="preserve">：假设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G=16</m:t>
          </m:r>
        </m:oMath>
      </m:oMathPara>
      <w:r>
        <w:rPr>
          <w:rFonts w:eastAsia="等线" w:ascii="Arial" w:cs="Arial" w:hAnsi="Arial"/>
          <w:sz w:val="22"/>
        </w:rPr>
        <w:t xml:space="preserve">，某道难题只有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 个回答正确（得分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</m:t>
          </m:r>
        </m:oMath>
      </m:oMathPara>
      <w:r>
        <w:rPr>
          <w:rFonts w:eastAsia="等线" w:ascii="Arial" w:cs="Arial" w:hAnsi="Arial"/>
          <w:sz w:val="22"/>
        </w:rPr>
        <w:t xml:space="preserve">），其余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15</m:t>
          </m:r>
        </m:oMath>
      </m:oMathPara>
      <w:r>
        <w:rPr>
          <w:rFonts w:eastAsia="等线" w:ascii="Arial" w:cs="Arial" w:hAnsi="Arial"/>
          <w:sz w:val="22"/>
        </w:rPr>
        <w:t xml:space="preserve"> 个全错（得分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）。此时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nor/>
            </m:rPr>
            <w:rPr>
              <w:rFonts w:ascii="Cambria Math" w:hAnsi="Cambria Math"/>
            </w:rPr>
            <m:t>std</m:t>
          </m:r>
        </m:oMath>
      </m:oMathPara>
      <w:r>
        <w:rPr>
          <w:rFonts w:eastAsia="等线" w:ascii="Arial" w:cs="Arial" w:hAnsi="Arial"/>
          <w:sz w:val="22"/>
        </w:rPr>
        <w:t xml:space="preserve"> 非常小，分母很小，导致那个唯一正确回答的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(i)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会被放大得非常巨大。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风险</w:t>
      </w:r>
      <w:r>
        <w:rPr>
          <w:rFonts w:eastAsia="等线" w:ascii="Arial" w:cs="Arial" w:hAnsi="Arial"/>
          <w:sz w:val="22"/>
        </w:rPr>
        <w:t>：这可能导致模型过度更新。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简化版</w:t>
      </w:r>
      <w:r>
        <w:rPr>
          <w:rFonts w:eastAsia="等线" w:ascii="Arial" w:cs="Arial" w:hAnsi="Arial"/>
          <w:sz w:val="22"/>
        </w:rPr>
        <w:t>：维持了奖励信号的</w:t>
      </w:r>
      <w:r>
        <w:rPr>
          <w:rFonts w:eastAsia="等线" w:ascii="Arial" w:cs="Arial" w:hAnsi="Arial"/>
          <w:b w:val="true"/>
          <w:sz w:val="22"/>
        </w:rPr>
        <w:t>线性比例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在上述场景中，正确样本的优势仅为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1−</m:t>
          </m:r>
          <m:r>
            <m:rPr>
              <m:nor/>
            </m:rPr>
            <w:rPr>
              <w:rFonts w:ascii="Cambria Math" w:hAnsi="Cambria Math"/>
            </w:rPr>
            <m:t>mean</m:t>
          </m:r>
          <m:r>
            <w:rPr>
              <w:rFonts w:ascii="Cambria Math" w:hAnsi="Cambria Math"/>
            </w:rPr>
            <m:t>(r)</m:t>
          </m:r>
        </m:oMath>
      </m:oMathPara>
      <w:r>
        <w:rPr>
          <w:rFonts w:eastAsia="等线" w:ascii="Arial" w:cs="Arial" w:hAnsi="Arial"/>
          <w:sz w:val="22"/>
        </w:rPr>
        <w:t>。这种方式认为：在其他人都做错的情况下，偶然做对的信号不应该被无限放大，从而保护了训练的鲁棒性。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三、 适用场景分析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1. 什么时候使用“标准版 (Eq. 28)”？</w:t>
      </w:r>
      <w:bookmarkEnd w:id="5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奖励函数尺度不一</w:t>
      </w:r>
      <w:r>
        <w:rPr>
          <w:rFonts w:eastAsia="等线" w:ascii="Arial" w:cs="Arial" w:hAnsi="Arial"/>
          <w:sz w:val="22"/>
        </w:rPr>
        <w:t>：如果你同时使用了多种奖励（如格式奖、数值对错奖、代码通过率奖），且它们的量级不在一个水平上，标准版能自动将它们拉回到同一评价维度。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训练初期</w:t>
      </w:r>
      <w:r>
        <w:rPr>
          <w:rFonts w:eastAsia="等线" w:ascii="Arial" w:cs="Arial" w:hAnsi="Arial"/>
          <w:sz w:val="22"/>
        </w:rPr>
        <w:t>：在模型还比较“混乱”、采样结果多样性极高时，标准版能快速提取出强烈的对比信号，加速格式对齐。</w:t>
      </w:r>
    </w:p>
    <w:p>
      <w:pPr>
        <w:spacing w:before="120" w:after="120" w:line="288" w:lineRule="auto"/>
        <w:ind w:left="453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2. 什么时候使用“简化版 (Eq. 31)”？</w:t>
      </w:r>
      <w:bookmarkEnd w:id="6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二元奖励任务</w:t>
      </w:r>
      <w:r>
        <w:rPr>
          <w:rFonts w:eastAsia="等线" w:ascii="Arial" w:cs="Arial" w:hAnsi="Arial"/>
          <w:sz w:val="22"/>
        </w:rPr>
        <w:t>：在数学推理（MATH/GSM8K）任务中，奖励通常非黑即白（0 或 1）。Liu et al. [2025] 证明，在这些任务中，标准差归一化往往会引入不必要的偏置，简化版能获得更平滑的准确率上升曲线。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大规模训练</w:t>
      </w:r>
      <w:r>
        <w:rPr>
          <w:rFonts w:eastAsia="等线" w:ascii="Arial" w:cs="Arial" w:hAnsi="Arial"/>
          <w:sz w:val="22"/>
        </w:rPr>
        <w:t xml:space="preserve">：当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G</m:t>
          </m:r>
        </m:oMath>
      </m:oMathPara>
      <w:r>
        <w:rPr>
          <w:rFonts w:eastAsia="等线" w:ascii="Arial" w:cs="Arial" w:hAnsi="Arial"/>
          <w:sz w:val="22"/>
        </w:rPr>
        <w:t>（组大小）非常大时，均值估计已经足够准确，不需要标准差进行额外约束。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追求训练稳健性</w:t>
      </w:r>
      <w:r>
        <w:rPr>
          <w:rFonts w:eastAsia="等线" w:ascii="Arial" w:cs="Arial" w:hAnsi="Arial"/>
          <w:sz w:val="22"/>
        </w:rPr>
        <w:t>：如果你发现训练过程中经常出现损失值跳变或 NaN，切换到简化版通常是第一个有效的解决方案。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四、 元数据（Metadata）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RL 训练中，要观察奖励的质量：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mean_reward</w:t>
      </w:r>
      <w:r>
        <w:rPr>
          <w:rFonts w:eastAsia="等线" w:ascii="Arial" w:cs="Arial" w:hAnsi="Arial"/>
          <w:sz w:val="22"/>
        </w:rPr>
        <w:t>：衡量模型当前的绝对解题能力。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max_reward</w:t>
      </w:r>
      <w:r>
        <w:rPr>
          <w:rFonts w:eastAsia="等线" w:ascii="Arial" w:cs="Arial" w:hAnsi="Arial"/>
          <w:sz w:val="22"/>
        </w:rPr>
        <w:t>：反映了模型的“探索上限”，即它是否曾经发现过正确的路径。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mean_advantage</w:t>
      </w:r>
      <w:r>
        <w:rPr>
          <w:rFonts w:eastAsia="等线" w:ascii="Arial" w:cs="Arial" w:hAnsi="Arial"/>
          <w:sz w:val="22"/>
        </w:rPr>
        <w:t>：理论上应接近 0。如果该值长期大幅度偏离 0，说明归一化逻辑或梯度累积环节存在 Bug。</w:t>
      </w:r>
    </w:p>
    <w:p>
      <w:pPr>
        <w:spacing w:before="120" w:after="120" w:line="288" w:lineRule="auto"/>
        <w:ind w:left="453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代码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compute_group_normalized_rewards(</w:t>
              <w:br/>
              <w:t xml:space="preserve">    reward_fn: Callable[[str, str], Dict[str, float]],</w:t>
              <w:br/>
              <w:t xml:space="preserve">    rollout_responses: List[str],</w:t>
              <w:br/>
              <w:t xml:space="preserve">    repeated_ground_truths: List[str],</w:t>
              <w:br/>
              <w:t xml:space="preserve">    group_size: int,</w:t>
              <w:br/>
              <w:t xml:space="preserve">    advantage_eps: float = 1e-8,</w:t>
              <w:br/>
              <w:t xml:space="preserve">    normalize_by_std: bool = True,</w:t>
              <w:br/>
              <w:t>) -&gt; Tuple[torch.Tensor, torch.Tensor, Dict[str, float]]:</w:t>
              <w:br/>
              <w:t xml:space="preserve">    """</w:t>
              <w:br/>
              <w:t xml:space="preserve">    计算 GRPO (Group Relative Policy Optimization) 的核心组件：组内归一化奖励（即优势 Advantage）。</w:t>
              <w:br/>
              <w:br/>
              <w:t xml:space="preserve">    该函数执行以下步骤：</w:t>
              <w:br/>
              <w:t xml:space="preserve">    1. 计算每个回答的原始奖励分数。</w:t>
              <w:br/>
              <w:t xml:space="preserve">    2. 将回答按照问题分组（每组 group_size 个）。</w:t>
              <w:br/>
              <w:t xml:space="preserve">    3. 计算组内的平均分（和标准差）。</w:t>
              <w:br/>
              <w:t xml:space="preserve">    4. 将每个回答的分数减去组均值（并可选地除以标准差），得到相对优势。</w:t>
              <w:br/>
              <w:br/>
              <w:t xml:space="preserve">    Args:</w:t>
              <w:br/>
              <w:t xml:space="preserve">        reward_fn (Callable): 奖励函数。</w:t>
              <w:br/>
              <w:t xml:space="preserve">            - 输入: (模型生成的回答 response, 标准答案 ground_truth)</w:t>
              <w:br/>
              <w:t xml:space="preserve">            - 输出: 一个字典，必须包含 key "reward" (float)。</w:t>
              <w:br/>
              <w:t xml:space="preserve">        </w:t>
              <w:br/>
              <w:t xml:space="preserve">        rollout_responses (List[str]): 模型生成的所有回答列表。</w:t>
              <w:br/>
              <w:t xml:space="preserve">            - 长度 = (问题数量 * group_size)。</w:t>
              <w:br/>
              <w:t xml:space="preserve">            - 顺序隐含了分组逻辑，即前 group_size 个对应第1个问题，接下来的 group_size 个对应第2个问题...</w:t>
              <w:br/>
              <w:t xml:space="preserve">        </w:t>
              <w:br/>
              <w:t xml:space="preserve">        repeated_ground_truths (List[str]): 对应的标准答案列表。</w:t>
              <w:br/>
              <w:t xml:space="preserve">            - 长度必须与 rollout_responses 相同。</w:t>
              <w:br/>
              <w:t xml:space="preserve">            - 对于同一个问题的 group_size 个回答，这里的 ground_truth 是重复的。</w:t>
              <w:br/>
              <w:t xml:space="preserve">        </w:t>
              <w:br/>
              <w:t xml:space="preserve">        group_size (int): 每个问题生成的回答数量 (G)。</w:t>
              <w:br/>
              <w:t xml:space="preserve">            - 用于将扁平的列表 reshape 成 (N, G) 的矩阵。</w:t>
              <w:br/>
              <w:t xml:space="preserve">        </w:t>
              <w:br/>
              <w:t xml:space="preserve">        advantage_eps (float): 防止除零错误的极小值。</w:t>
              <w:br/>
              <w:t xml:space="preserve">            - 当 normalize_by_std=True 时，分母为 (std + eps)。默认 1e-8。</w:t>
              <w:br/>
              <w:t xml:space="preserve">        </w:t>
              <w:br/>
              <w:t xml:space="preserve">        normalize_by_std (bool): 是否除以组内标准差。</w:t>
              <w:br/>
              <w:t xml:space="preserve">            - True: 使用公式 (r - mean) / std (标准 GRPO/DeepSeekMath)。</w:t>
              <w:br/>
              <w:t xml:space="preserve">            - False: 仅使用公式 r - mean (Dr. GRPO 建议的简化版，防止 std 接近 0 时数值不稳定)。</w:t>
              <w:br/>
              <w:br/>
              <w:t xml:space="preserve">    Returns:</w:t>
              <w:br/>
              <w:t xml:space="preserve">        Tuple[torch.Tensor, torch.Tensor, Dict[str, float]]:</w:t>
              <w:br/>
              <w:t xml:space="preserve">            1. advantages: 归一化后的优势分数，形状 (Total_Samples,)。</w:t>
              <w:br/>
              <w:t xml:space="preserve">            2. raw_rewards: 原始奖励分数，形状 (Total_Samples,)。</w:t>
              <w:br/>
              <w:t xml:space="preserve">            3. metadata: 包含统计信息（如平均奖励、最大/最小奖励等）的字典，用于日志记录。</w:t>
              <w:br/>
              <w:t xml:space="preserve">    """</w:t>
              <w:br/>
              <w:t xml:space="preserve">    </w:t>
              <w:br/>
              <w:t xml:space="preserve">    # --- 1. 基础校验 ---</w:t>
              <w:br/>
              <w:t xml:space="preserve">    # 确保输入数据长度一致，且能被 group_size 整除</w:t>
              <w:br/>
              <w:t xml:space="preserve">    assert len(rollout_responses) == len(repeated_ground_truths), "Response 和 Ground Truth 数量必须一致"</w:t>
              <w:br/>
              <w:t xml:space="preserve">    assert len(rollout_responses) % group_size == 0, "总样本数必须是 group_size 的整数倍"</w:t>
              <w:br/>
              <w:br/>
              <w:t xml:space="preserve">    # --- 2. 计算原始奖励 (Raw Rewards) ---</w:t>
              <w:br/>
              <w:t xml:space="preserve">    raw_rewards_list = []</w:t>
              <w:br/>
              <w:t xml:space="preserve">    </w:t>
              <w:br/>
              <w:t xml:space="preserve">    # 遍历每一对 (回答, 标答)</w:t>
              <w:br/>
              <w:t xml:space="preserve">    for response, truth in zip(rollout_responses, repeated_ground_truths):</w:t>
              <w:br/>
              <w:t xml:space="preserve">        # 调用外部传入的奖励函数</w:t>
              <w:br/>
              <w:t xml:space="preserve">        # reward_fn 返回示例: {"reward": 1.0, "format_reward": 1.0, ...}</w:t>
              <w:br/>
              <w:t xml:space="preserve">        score_dict = reward_fn(response, truth)</w:t>
              <w:br/>
              <w:t xml:space="preserve">        </w:t>
              <w:br/>
              <w:t xml:space="preserve">        # 我们只取最终的总分 "reward"</w:t>
              <w:br/>
              <w:t xml:space="preserve">        raw_rewards_list.append(score_dict["reward"])</w:t>
              <w:br/>
              <w:t xml:space="preserve">    </w:t>
              <w:br/>
              <w:t xml:space="preserve">    # 将列表转换为 PyTorch 张量，形状为 (Total_Samples,)，例如 (32,)</w:t>
              <w:br/>
              <w:t xml:space="preserve">    # device 默认为 CPU，后续训练时会自动移到 GPU</w:t>
              <w:br/>
              <w:t xml:space="preserve">    raw_rewards = torch.tensor(raw_rewards_list, dtype=torch.float32)</w:t>
              <w:br/>
              <w:br/>
              <w:t xml:space="preserve">    # --- 3. 组内统计 (Group Statistics) ---</w:t>
              <w:br/>
              <w:t xml:space="preserve">    # 计算有多少个独立的问题 (N)</w:t>
              <w:br/>
              <w:t xml:space="preserve">    num_questions = raw_rewards.shape[0] // group_size</w:t>
              <w:br/>
              <w:t xml:space="preserve">    </w:t>
              <w:br/>
              <w:t xml:space="preserve">    # 关键步骤：Reshape</w:t>
              <w:br/>
              <w:t xml:space="preserve">    # 将一维张量 (N*G, ) 变成二维张量 (N, G)</w:t>
              <w:br/>
              <w:t xml:space="preserve">    # 每一行代表一个问题对应的 G 个回答的分数</w:t>
              <w:br/>
              <w:t xml:space="preserve">    grouped_rewards = raw_rewards.view(num_questions, group_size)</w:t>
              <w:br/>
              <w:t xml:space="preserve">    </w:t>
              <w:br/>
              <w:t xml:space="preserve">    # 计算组内均值</w:t>
              <w:br/>
              <w:t xml:space="preserve">    # dim=1 表示沿着“组”的维度（列）求平均</w:t>
              <w:br/>
              <w:t xml:space="preserve">    # keepdim=True 保持形状为 (N, 1)，这是为了后面能利用广播机制让 (N, G) 减去 (N, 1)</w:t>
              <w:br/>
              <w:t xml:space="preserve">    group_means = grouped_rewards.mean(dim=1, keepdim=True)</w:t>
              <w:br/>
              <w:t xml:space="preserve">    </w:t>
              <w:br/>
              <w:t xml:space="preserve">    # 计算组内标准差 (如果需要)</w:t>
              <w:br/>
              <w:t xml:space="preserve">    if normalize_by_std:</w:t>
              <w:br/>
              <w:t xml:space="preserve">        group_stds = grouped_rewards.std(dim=1, keepdim=True)</w:t>
              <w:br/>
              <w:br/>
              <w:t xml:space="preserve">    # --- 4. 计算优势 (Advantage Calculation) ---</w:t>
              <w:br/>
              <w:t xml:space="preserve">    if normalize_by_std:</w:t>
              <w:br/>
              <w:t xml:space="preserve">        # 对应公式 (28)</w:t>
              <w:br/>
              <w:t xml:space="preserve">        # 广播机制：(N, G) - (N, 1) -&gt; (N, G)</w:t>
              <w:br/>
              <w:t xml:space="preserve">        # 每个分数减去它所在组的平均分，再除以标准差</w:t>
              <w:br/>
              <w:t xml:space="preserve">        advantages = (grouped_rewards - group_means) / (group_stds + advantage_eps)</w:t>
              <w:br/>
              <w:t xml:space="preserve">    else:</w:t>
              <w:br/>
              <w:t xml:space="preserve">        # 对应公式 (31) - Dr. GRPO 的建议</w:t>
              <w:br/>
              <w:t xml:space="preserve">        # 仅减去均值</w:t>
              <w:br/>
              <w:t xml:space="preserve">        advantages = grouped_rewards - group_means</w:t>
              <w:br/>
              <w:br/>
              <w:t xml:space="preserve">    # --- 5. 还原形状 ---</w:t>
              <w:br/>
              <w:t xml:space="preserve">    # 将二维的优势矩阵 (N, G) 拉平回一维 (N*G, )，以便和 log_probs 的形状对齐</w:t>
              <w:br/>
              <w:t xml:space="preserve">    advantages = advantages.view(-1)</w:t>
              <w:br/>
              <w:br/>
              <w:t xml:space="preserve">    # --- 6. 生成元数据 (Metadata) ---</w:t>
              <w:br/>
              <w:t xml:space="preserve">    # 这些数据不参与计算图，仅用于 WandB/日志 监控训练进度</w:t>
              <w:br/>
              <w:t xml:space="preserve">    metadata = {</w:t>
              <w:br/>
              <w:t xml:space="preserve">        "mean_reward": raw_rewards.mean().item(), # 整体平均分</w:t>
              <w:br/>
              <w:t xml:space="preserve">        "std_reward": raw_rewards.std().item(),   # 整体标准差</w:t>
              <w:br/>
              <w:t xml:space="preserve">        "max_reward": raw_rewards.max().item(),   # 最高分</w:t>
              <w:br/>
              <w:t xml:space="preserve">        "min_reward": raw_rewards.min().item(),   # 最低分</w:t>
              <w:br/>
              <w:t xml:space="preserve">        "mean_advantage": advantages.mean().item(), # 平均优势（理论上应接近0）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advantages, raw_rewards, metadata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4754">
    <w:lvl>
      <w:numFmt w:val="bullet"/>
      <w:suff w:val="tab"/>
      <w:lvlText w:val="•"/>
      <w:rPr>
        <w:color w:val="3370ff"/>
      </w:rPr>
    </w:lvl>
  </w:abstractNum>
  <w:abstractNum w:abstractNumId="314755">
    <w:lvl>
      <w:numFmt w:val="bullet"/>
      <w:suff w:val="tab"/>
      <w:lvlText w:val="•"/>
      <w:rPr>
        <w:color w:val="3370ff"/>
      </w:rPr>
    </w:lvl>
  </w:abstractNum>
  <w:abstractNum w:abstractNumId="314756">
    <w:lvl>
      <w:numFmt w:val="bullet"/>
      <w:suff w:val="tab"/>
      <w:lvlText w:val="•"/>
      <w:rPr>
        <w:color w:val="3370ff"/>
      </w:rPr>
    </w:lvl>
  </w:abstractNum>
  <w:abstractNum w:abstractNumId="314757">
    <w:lvl>
      <w:numFmt w:val="bullet"/>
      <w:suff w:val="tab"/>
      <w:lvlText w:val="•"/>
      <w:rPr>
        <w:color w:val="3370ff"/>
      </w:rPr>
    </w:lvl>
  </w:abstractNum>
  <w:abstractNum w:abstractNumId="314758">
    <w:lvl>
      <w:numFmt w:val="bullet"/>
      <w:suff w:val="tab"/>
      <w:lvlText w:val="•"/>
      <w:rPr>
        <w:color w:val="3370ff"/>
      </w:rPr>
    </w:lvl>
  </w:abstractNum>
  <w:abstractNum w:abstractNumId="314759">
    <w:lvl>
      <w:numFmt w:val="bullet"/>
      <w:suff w:val="tab"/>
      <w:lvlText w:val="•"/>
      <w:rPr>
        <w:color w:val="3370ff"/>
      </w:rPr>
    </w:lvl>
  </w:abstractNum>
  <w:abstractNum w:abstractNumId="314760">
    <w:lvl>
      <w:numFmt w:val="bullet"/>
      <w:suff w:val="tab"/>
      <w:lvlText w:val="•"/>
      <w:rPr>
        <w:color w:val="3370ff"/>
      </w:rPr>
    </w:lvl>
  </w:abstractNum>
  <w:abstractNum w:abstractNumId="314761">
    <w:lvl>
      <w:numFmt w:val="bullet"/>
      <w:suff w:val="tab"/>
      <w:lvlText w:val="•"/>
      <w:rPr>
        <w:color w:val="3370ff"/>
      </w:rPr>
    </w:lvl>
  </w:abstractNum>
  <w:abstractNum w:abstractNumId="314762">
    <w:lvl>
      <w:numFmt w:val="bullet"/>
      <w:suff w:val="tab"/>
      <w:lvlText w:val="￮"/>
      <w:rPr>
        <w:color w:val="3370ff"/>
      </w:rPr>
    </w:lvl>
  </w:abstractNum>
  <w:abstractNum w:abstractNumId="314763">
    <w:lvl>
      <w:numFmt w:val="bullet"/>
      <w:suff w:val="tab"/>
      <w:lvlText w:val="￮"/>
      <w:rPr>
        <w:color w:val="3370ff"/>
      </w:rPr>
    </w:lvl>
  </w:abstractNum>
  <w:abstractNum w:abstractNumId="314764">
    <w:lvl>
      <w:numFmt w:val="bullet"/>
      <w:suff w:val="tab"/>
      <w:lvlText w:val="•"/>
      <w:rPr>
        <w:color w:val="3370ff"/>
      </w:rPr>
    </w:lvl>
  </w:abstractNum>
  <w:abstractNum w:abstractNumId="314765">
    <w:lvl>
      <w:numFmt w:val="bullet"/>
      <w:suff w:val="tab"/>
      <w:lvlText w:val="￮"/>
      <w:rPr>
        <w:color w:val="3370ff"/>
      </w:rPr>
    </w:lvl>
  </w:abstractNum>
  <w:abstractNum w:abstractNumId="314766">
    <w:lvl>
      <w:numFmt w:val="bullet"/>
      <w:suff w:val="tab"/>
      <w:lvlText w:val="•"/>
      <w:rPr>
        <w:color w:val="3370ff"/>
      </w:rPr>
    </w:lvl>
  </w:abstractNum>
  <w:abstractNum w:abstractNumId="314767">
    <w:lvl>
      <w:numFmt w:val="bullet"/>
      <w:suff w:val="tab"/>
      <w:lvlText w:val="•"/>
      <w:rPr>
        <w:color w:val="3370ff"/>
      </w:rPr>
    </w:lvl>
  </w:abstractNum>
  <w:abstractNum w:abstractNumId="314768">
    <w:lvl>
      <w:numFmt w:val="bullet"/>
      <w:suff w:val="tab"/>
      <w:lvlText w:val="•"/>
      <w:rPr>
        <w:color w:val="3370ff"/>
      </w:rPr>
    </w:lvl>
  </w:abstractNum>
  <w:abstractNum w:abstractNumId="314769">
    <w:lvl>
      <w:numFmt w:val="bullet"/>
      <w:suff w:val="tab"/>
      <w:lvlText w:val="•"/>
      <w:rPr>
        <w:color w:val="3370ff"/>
      </w:rPr>
    </w:lvl>
  </w:abstractNum>
  <w:abstractNum w:abstractNumId="314770">
    <w:lvl>
      <w:numFmt w:val="bullet"/>
      <w:suff w:val="tab"/>
      <w:lvlText w:val="•"/>
      <w:rPr>
        <w:color w:val="3370ff"/>
      </w:rPr>
    </w:lvl>
  </w:abstractNum>
  <w:abstractNum w:abstractNumId="314771">
    <w:lvl>
      <w:numFmt w:val="bullet"/>
      <w:suff w:val="tab"/>
      <w:lvlText w:val="•"/>
      <w:rPr>
        <w:color w:val="3370ff"/>
      </w:rPr>
    </w:lvl>
  </w:abstractNum>
  <w:abstractNum w:abstractNumId="314772">
    <w:lvl>
      <w:numFmt w:val="bullet"/>
      <w:suff w:val="tab"/>
      <w:lvlText w:val="•"/>
      <w:rPr>
        <w:color w:val="3370ff"/>
      </w:rPr>
    </w:lvl>
  </w:abstractNum>
  <w:abstractNum w:abstractNumId="314773">
    <w:lvl>
      <w:numFmt w:val="bullet"/>
      <w:suff w:val="tab"/>
      <w:lvlText w:val="•"/>
      <w:rPr>
        <w:color w:val="3370ff"/>
      </w:rPr>
    </w:lvl>
  </w:abstractNum>
  <w:num w:numId="1">
    <w:abstractNumId w:val="314754"/>
  </w:num>
  <w:num w:numId="2">
    <w:abstractNumId w:val="314755"/>
  </w:num>
  <w:num w:numId="3">
    <w:abstractNumId w:val="314756"/>
  </w:num>
  <w:num w:numId="4">
    <w:abstractNumId w:val="314757"/>
  </w:num>
  <w:num w:numId="5">
    <w:abstractNumId w:val="314758"/>
  </w:num>
  <w:num w:numId="6">
    <w:abstractNumId w:val="314759"/>
  </w:num>
  <w:num w:numId="7">
    <w:abstractNumId w:val="314760"/>
  </w:num>
  <w:num w:numId="8">
    <w:abstractNumId w:val="314761"/>
  </w:num>
  <w:num w:numId="9">
    <w:abstractNumId w:val="314762"/>
  </w:num>
  <w:num w:numId="10">
    <w:abstractNumId w:val="314763"/>
  </w:num>
  <w:num w:numId="11">
    <w:abstractNumId w:val="314764"/>
  </w:num>
  <w:num w:numId="12">
    <w:abstractNumId w:val="314765"/>
  </w:num>
  <w:num w:numId="13">
    <w:abstractNumId w:val="314766"/>
  </w:num>
  <w:num w:numId="14">
    <w:abstractNumId w:val="314767"/>
  </w:num>
  <w:num w:numId="15">
    <w:abstractNumId w:val="314768"/>
  </w:num>
  <w:num w:numId="16">
    <w:abstractNumId w:val="314769"/>
  </w:num>
  <w:num w:numId="17">
    <w:abstractNumId w:val="314770"/>
  </w:num>
  <w:num w:numId="18">
    <w:abstractNumId w:val="314771"/>
  </w:num>
  <w:num w:numId="19">
    <w:abstractNumId w:val="314772"/>
  </w:num>
  <w:num w:numId="20">
    <w:abstractNumId w:val="3147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2026-07-26T08:29:41Z</dcterms:created>
  <dc:creator>Apache POI</dc:creator>
</cp:coreProperties>
</file>