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5.3 GRPO损失函数实现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Naive PG、GRPO-No-Clip、GRPO-Clip 三种损失函数的完整数学定义。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深度分析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clipped_mask</w:t>
            </w:r>
            <w:r>
              <w:rPr>
                <w:rFonts w:eastAsia="等线" w:ascii="Arial" w:cs="Arial" w:hAnsi="Arial"/>
                <w:sz w:val="22"/>
              </w:rPr>
              <w:t xml:space="preserve"> 的判定逻辑，理解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clip_fraction</w:t>
            </w:r>
            <w:r>
              <w:rPr>
                <w:rFonts w:eastAsia="等线" w:ascii="Arial" w:cs="Arial" w:hAnsi="Arial"/>
                <w:sz w:val="22"/>
              </w:rPr>
              <w:t xml:space="preserve"> 的含义。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 三种策略梯度损失函数的数学定义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PyTorch 代码中，我们通常执行</w:t>
      </w:r>
      <w:r>
        <w:rPr>
          <w:rFonts w:eastAsia="等线" w:ascii="Arial" w:cs="Arial" w:hAnsi="Arial"/>
          <w:b w:val="true"/>
          <w:sz w:val="22"/>
        </w:rPr>
        <w:t>梯度下降</w:t>
      </w:r>
      <w:r>
        <w:rPr>
          <w:rFonts w:eastAsia="等线" w:ascii="Arial" w:cs="Arial" w:hAnsi="Arial"/>
          <w:sz w:val="22"/>
        </w:rPr>
        <w:t>（最小化 Loss）。而强化学习的理论目标是</w:t>
      </w:r>
      <w:r>
        <w:rPr>
          <w:rFonts w:eastAsia="等线" w:ascii="Arial" w:cs="Arial" w:hAnsi="Arial"/>
          <w:b w:val="true"/>
          <w:sz w:val="22"/>
        </w:rPr>
        <w:t>梯度上升</w:t>
      </w:r>
      <w:r>
        <w:rPr>
          <w:rFonts w:eastAsia="等线" w:ascii="Arial" w:cs="Arial" w:hAnsi="Arial"/>
          <w:sz w:val="22"/>
        </w:rPr>
        <w:t xml:space="preserve">（最大化目标函数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>）。为了统一，我们将代码中的 Loss 定义为目标函数的负值：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L(θ)=−J(θ)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以下是三种变体在代码中对应的完整数学公式（逐 Token 形式）：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1. 朴素策略梯度 (Naive Policy Gradient / REINFORCE)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对应代码中的 </w:t>
      </w:r>
      <w:r>
        <w:rPr>
          <w:rFonts w:eastAsia="Consolas" w:ascii="Consolas" w:cs="Consolas" w:hAnsi="Consolas"/>
          <w:sz w:val="22"/>
          <w:shd w:fill="EFF0F1"/>
        </w:rPr>
        <w:t>loss_type="no_baseline"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“reinforce_with_baseline”</w:t>
      </w:r>
      <w:r>
        <w:rPr>
          <w:rFonts w:eastAsia="等线" w:ascii="Arial" w:cs="Arial" w:hAnsi="Arial"/>
          <w:sz w:val="22"/>
        </w:rPr>
        <w:t>。这是最基础的形式，不包含重要性采样，也不包含截断。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数学公式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Naive</m:t>
              </m:r>
            </m:sub>
          </m:sSub>
          <m:r>
            <w:rPr>
              <w:rFonts w:ascii="Cambria Math" w:hAnsi="Cambria Math"/>
            </w:rPr>
            <m:t>(θ)=−R(τ)⋅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含义</w:t>
      </w:r>
      <w:r>
        <w:rPr>
          <w:rFonts w:eastAsia="等线" w:ascii="Arial" w:cs="Arial" w:hAnsi="Arial"/>
          <w:sz w:val="22"/>
        </w:rPr>
        <w:t xml:space="preserve">：直接根据优势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的正负，增大或减小当前动作的对数概率。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代码对应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loss = - (advantages * policy_log_probs)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2. 无截断 GRPO (GRPO No-Clip / Off-Policy)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对应代码中的 </w:t>
      </w:r>
      <w:r>
        <w:rPr>
          <w:rFonts w:eastAsia="Consolas" w:ascii="Consolas" w:cs="Consolas" w:hAnsi="Consolas"/>
          <w:sz w:val="22"/>
          <w:shd w:fill="EFF0F1"/>
        </w:rPr>
        <w:t>loss_type="grpo_no_clip"</w:t>
      </w:r>
      <w:r>
        <w:rPr>
          <w:rFonts w:eastAsia="等线" w:ascii="Arial" w:cs="Arial" w:hAnsi="Arial"/>
          <w:sz w:val="22"/>
        </w:rPr>
        <w:t>。它引入了重要性采样比率（Ratio），允许使用旧策略的数据更新新策略，但没有安全限制。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数学公式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No-Clip</m:t>
              </m:r>
            </m:sub>
          </m:sSub>
          <m:r>
            <w:rPr>
              <w:rFonts w:ascii="Cambria Math" w:hAnsi="Cambria Math"/>
            </w:rPr>
            <m:t>(θ)=−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old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⋅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含义</w:t>
      </w:r>
      <w:r>
        <w:rPr>
          <w:rFonts w:eastAsia="等线" w:ascii="Arial" w:cs="Arial" w:hAnsi="Arial"/>
          <w:sz w:val="22"/>
        </w:rPr>
        <w:t xml:space="preserve">：利用比率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old</m:t>
                  </m:r>
                </m:sub>
              </m:sSub>
            </m:den>
          </m:f>
        </m:oMath>
      </m:oMathPara>
      <w:r>
        <w:rPr>
          <w:rFonts w:eastAsia="等线" w:ascii="Arial" w:cs="Arial" w:hAnsi="Arial"/>
          <w:sz w:val="22"/>
        </w:rPr>
        <w:t xml:space="preserve"> 修正分布偏差。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代码对应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loss = - (ratio * advantages)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 xml:space="preserve">3. 截断 GRPO (GRPO-Clip) —— </w:t>
      </w:r>
      <w:r>
        <w:rPr>
          <w:rFonts w:eastAsia="等线" w:ascii="Arial" w:cs="Arial" w:hAnsi="Arial"/>
          <w:b w:val="true"/>
          <w:sz w:val="28"/>
        </w:rPr>
        <w:t>工业界标准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对应代码中的 </w:t>
      </w:r>
      <w:r>
        <w:rPr>
          <w:rFonts w:eastAsia="Consolas" w:ascii="Consolas" w:cs="Consolas" w:hAnsi="Consolas"/>
          <w:sz w:val="22"/>
          <w:shd w:fill="EFF0F1"/>
        </w:rPr>
        <w:t>loss_type="grpo_clip"</w:t>
      </w:r>
      <w:r>
        <w:rPr>
          <w:rFonts w:eastAsia="等线" w:ascii="Arial" w:cs="Arial" w:hAnsi="Arial"/>
          <w:sz w:val="22"/>
        </w:rPr>
        <w:t>。这是 DeepSeek-R1 和 PPO 的核心，引入了“悲观下界”机制。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l数学公式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Clip</m:t>
              </m:r>
            </m:sub>
          </m:sSub>
          <m:r>
            <w:rPr>
              <w:rFonts w:ascii="Cambria Math" w:hAnsi="Cambria Math"/>
            </w:rPr>
            <m:t>(θ)=−min</m:t>
          </m:r>
          <m:d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|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b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/>
                                    </w:rPr>
                                    <m:t>old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|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⋅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  <m:lim>
                      <m:r>
                        <w:rPr>
                          <w:rFonts w:ascii="Cambria Math" w:hAnsi="Cambria Math"/>
                        </w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</m:rPr>
                    <w:rPr>
                      <w:rFonts w:ascii="Cambria Math" w:hAnsi="Cambria Math"/>
                    </w:rPr>
                    <m:t>Surrogate 1</m:t>
                  </m:r>
                </m:lim>
              </m:limLow>
              <m:r>
                <w:rPr>
                  <w:rFonts w:ascii="Cambria Math" w:hAnsi="Cambria Math"/>
                </w:rPr>
                <m:t>,</m:t>
              </m:r>
              <m:limLow>
                <m:e>
                  <m:limLow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clip</m:t>
                      </m:r>
                      <m:d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|</m:t>
                              </m:r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num>
                            <m:den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</m:e>
                                <m:sub>
                                  <m:sSub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old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|</m:t>
                              </m:r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−</m:t>
                          </m:r>
                          <m:r>
                            <w:rPr>
                              <w:rFonts w:ascii="Cambria Math" w:hAnsi="Cambria Math"/>
                            </w:rPr>
                            <m:t>ϵ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ϵ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⋅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  <m:lim>
                      <m:r>
                        <w:rPr>
                          <w:rFonts w:ascii="Cambria Math" w:hAnsi="Cambria Math"/>
                        </w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</m:rPr>
                    <w:rPr>
                      <w:rFonts w:ascii="Cambria Math" w:hAnsi="Cambria Math"/>
                    </w:rPr>
                    <m:t>Surrogate 2</m:t>
                  </m:r>
                </m:lim>
              </m:limLow>
            </m:e>
          </m:d>
        </m:oMath>
      </m:oMathPara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含义</w:t>
      </w:r>
      <w:r>
        <w:rPr>
          <w:rFonts w:eastAsia="等线" w:ascii="Arial" w:cs="Arial" w:hAnsi="Arial"/>
          <w:sz w:val="22"/>
        </w:rPr>
        <w:t>：在最大化目标函数时，取</w:t>
      </w:r>
      <w:r>
        <w:rPr>
          <w:rFonts w:eastAsia="等线" w:ascii="Arial" w:cs="Arial" w:hAnsi="Arial"/>
          <w:b w:val="true"/>
          <w:sz w:val="22"/>
        </w:rPr>
        <w:t>未截断目标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截断后目标</w:t>
      </w:r>
      <w:r>
        <w:rPr>
          <w:rFonts w:eastAsia="等线" w:ascii="Arial" w:cs="Arial" w:hAnsi="Arial"/>
          <w:sz w:val="22"/>
        </w:rPr>
        <w:t>的最小值，形成一个保守的优化下界。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代码对应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loss = - torch.min(surr1, surr2)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二、 Clip Fraction 的监控逻辑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compute_grpo_clip_loss</w:t>
      </w:r>
      <w:r>
        <w:rPr>
          <w:rFonts w:eastAsia="等线" w:ascii="Arial" w:cs="Arial" w:hAnsi="Arial"/>
          <w:sz w:val="22"/>
        </w:rPr>
        <w:t xml:space="preserve"> 函数中，有这样两行极其关键的监控代码：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判断是否触发了截断</w:t>
              <w:br/>
              <w:t>clipped_mask = (surr2 &lt; surr1).float()</w:t>
              <w:br/>
              <w:br/>
              <w:t># 2. 计算触发截断的比例</w:t>
              <w:br/>
            </w:r>
            <w:r>
              <w:rPr>
                <w:rFonts w:eastAsia="Consolas" w:ascii="Consolas" w:cs="Consolas" w:hAnsi="Consolas"/>
                <w:sz w:val="22"/>
              </w:rPr>
              <w:t>clip_fraction = clipped_mask.mean()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这两行代码不仅是用来记日志的，它们揭示了优化器在微观层面的行为。让我们通过</w:t>
      </w:r>
      <w:r>
        <w:rPr>
          <w:rFonts w:eastAsia="等线" w:ascii="Arial" w:cs="Arial" w:hAnsi="Arial"/>
          <w:b w:val="true"/>
          <w:sz w:val="22"/>
        </w:rPr>
        <w:t>分类讨论</w:t>
      </w:r>
      <w:r>
        <w:rPr>
          <w:rFonts w:eastAsia="等线" w:ascii="Arial" w:cs="Arial" w:hAnsi="Arial"/>
          <w:sz w:val="22"/>
        </w:rPr>
        <w:t xml:space="preserve">来彻底搞懂 </w:t>
      </w:r>
      <w:r>
        <w:rPr>
          <w:rFonts w:eastAsia="Consolas" w:ascii="Consolas" w:cs="Consolas" w:hAnsi="Consolas"/>
          <w:sz w:val="22"/>
          <w:shd w:fill="EFF0F1"/>
        </w:rPr>
        <w:t>surr2 &lt; surr1</w:t>
      </w:r>
      <w:r>
        <w:rPr>
          <w:rFonts w:eastAsia="等线" w:ascii="Arial" w:cs="Arial" w:hAnsi="Arial"/>
          <w:sz w:val="22"/>
        </w:rPr>
        <w:t xml:space="preserve"> 到底意味着什么。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我们定义比率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old</m:t>
                  </m:r>
                </m:sub>
              </m:sSub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surr1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⋅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（激进的、无限制的目标）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surr2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clip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)⋅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（保守的、被限制的目标）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PPO 逻辑</w:t>
      </w:r>
      <w:r>
        <w:rPr>
          <w:rFonts w:eastAsia="等线" w:ascii="Arial" w:cs="Arial" w:hAnsi="Arial"/>
          <w:sz w:val="22"/>
        </w:rPr>
        <w:t xml:space="preserve">：目标函数取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min(</m:t>
          </m:r>
          <m:r>
            <m:rPr>
              <m:nor/>
            </m:rPr>
            <w:rPr>
              <w:rFonts w:ascii="Cambria Math" w:hAnsi="Cambria Math"/>
            </w:rPr>
            <m:t>surr1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surr2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。也就是说，</w:t>
      </w:r>
      <w:r>
        <w:rPr>
          <w:rFonts w:eastAsia="等线" w:ascii="Arial" w:cs="Arial" w:hAnsi="Arial"/>
          <w:b w:val="true"/>
          <w:sz w:val="22"/>
        </w:rPr>
        <w:t xml:space="preserve">如果 </w:t>
      </w:r>
      <w:r>
        <w:rPr>
          <w:rFonts w:eastAsia="Consolas" w:ascii="Consolas" w:cs="Consolas" w:hAnsi="Consolas"/>
          <w:b w:val="true"/>
          <w:sz w:val="22"/>
          <w:shd w:fill="EFF0F1"/>
        </w:rPr>
        <w:t>surr2 &lt; surr1</w:t>
      </w:r>
      <w:r>
        <w:rPr>
          <w:rFonts w:eastAsia="等线" w:ascii="Arial" w:cs="Arial" w:hAnsi="Arial"/>
          <w:b w:val="true"/>
          <w:sz w:val="22"/>
        </w:rPr>
        <w:t xml:space="preserve">，算法就会选择 </w:t>
      </w:r>
      <w:r>
        <w:rPr>
          <w:rFonts w:eastAsia="Consolas" w:ascii="Consolas" w:cs="Consolas" w:hAnsi="Consolas"/>
          <w:b w:val="true"/>
          <w:sz w:val="22"/>
          <w:shd w:fill="EFF0F1"/>
        </w:rPr>
        <w:t>surr2</w:t>
      </w:r>
      <w:r>
        <w:rPr>
          <w:rFonts w:eastAsia="等线" w:ascii="Arial" w:cs="Arial" w:hAnsi="Arial"/>
          <w:b w:val="true"/>
          <w:sz w:val="22"/>
        </w:rPr>
        <w:t>，这意味着截断生效了，梯度被限制了。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场景讨论</w:t>
      </w:r>
      <w:bookmarkEnd w:id="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 xml:space="preserve">场景 A：优势 </w:t>
      </w:r>
      <w:r>
        <w:rPr>
          <w:rFonts w:eastAsia="等线" w:ascii="Arial" w:cs="Arial" w:hAnsi="Arial"/>
          <w:b w:val="true"/>
          <w:sz w:val="24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&gt;0</m:t>
          </m:r>
        </m:oMath>
      </m:oMathPara>
      <w:r>
        <w:rPr>
          <w:rFonts w:eastAsia="等线" w:ascii="Arial" w:cs="Arial" w:hAnsi="Arial"/>
          <w:b w:val="true"/>
          <w:sz w:val="24"/>
        </w:rPr>
        <w:t>（鼓励该动作）</w:t>
      </w:r>
      <w:bookmarkEnd w:id="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模型行为</w:t>
      </w:r>
      <w:r>
        <w:rPr>
          <w:rFonts w:eastAsia="等线" w:ascii="Arial" w:cs="Arial" w:hAnsi="Arial"/>
          <w:sz w:val="22"/>
        </w:rPr>
        <w:t xml:space="preserve">：试图增大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，导致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上升。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截断条件</w:t>
      </w:r>
      <w:r>
        <w:rPr>
          <w:rFonts w:eastAsia="等线" w:ascii="Arial" w:cs="Arial" w:hAnsi="Arial"/>
          <w:sz w:val="22"/>
        </w:rPr>
        <w:t xml:space="preserve">：当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&gt;1+ϵ</m:t>
          </m:r>
        </m:oMath>
      </m:oMathPara>
      <w:r>
        <w:rPr>
          <w:rFonts w:eastAsia="等线" w:ascii="Arial" w:cs="Arial" w:hAnsi="Arial"/>
          <w:sz w:val="22"/>
        </w:rPr>
        <w:t>（例如 &gt; 1.2）时。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surr1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⋅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（继续线性增长，值很大）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surr2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(1+ϵ)⋅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（被锁死在天花板，值较小）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比较</w:t>
      </w:r>
      <w:r>
        <w:rPr>
          <w:rFonts w:eastAsia="等线" w:ascii="Arial" w:cs="Arial" w:hAnsi="Arial"/>
          <w:sz w:val="22"/>
        </w:rPr>
        <w:t xml:space="preserve">：显然 </w:t>
      </w:r>
      <w:r>
        <w:rPr>
          <w:rFonts w:eastAsia="Consolas" w:ascii="Consolas" w:cs="Consolas" w:hAnsi="Consolas"/>
          <w:sz w:val="22"/>
          <w:shd w:fill="EFF0F1"/>
        </w:rPr>
        <w:t>surr2 &lt; surr1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Mask = 1</w:t>
      </w:r>
      <w:r>
        <w:rPr>
          <w:rFonts w:eastAsia="等线" w:ascii="Arial" w:cs="Arial" w:hAnsi="Arial"/>
          <w:sz w:val="22"/>
        </w:rPr>
        <w:t>。说明模型步子迈太大了，系统强制“刹车”，不再给予额外的奖励。</w:t>
      </w:r>
    </w:p>
    <w:p>
      <w:pPr>
        <w:spacing w:before="120" w:after="120" w:line="288" w:lineRule="auto"/>
        <w:ind w:left="907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b w:val="true"/>
          <w:sz w:val="24"/>
        </w:rPr>
        <w:t xml:space="preserve">场景 B：优势 </w:t>
      </w:r>
      <w:r>
        <w:rPr>
          <w:rFonts w:eastAsia="等线" w:ascii="Arial" w:cs="Arial" w:hAnsi="Arial"/>
          <w:b w:val="true"/>
          <w:sz w:val="24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&lt;0</m:t>
          </m:r>
        </m:oMath>
      </m:oMathPara>
      <w:r>
        <w:rPr>
          <w:rFonts w:eastAsia="等线" w:ascii="Arial" w:cs="Arial" w:hAnsi="Arial"/>
          <w:b w:val="true"/>
          <w:sz w:val="24"/>
        </w:rPr>
        <w:t>（惩罚该动作）</w:t>
      </w:r>
      <w:bookmarkEnd w:id="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模型行为</w:t>
      </w:r>
      <w:r>
        <w:rPr>
          <w:rFonts w:eastAsia="等线" w:ascii="Arial" w:cs="Arial" w:hAnsi="Arial"/>
          <w:sz w:val="22"/>
        </w:rPr>
        <w:t xml:space="preserve">：试图减小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，导致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下降。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截断条件</w:t>
      </w:r>
      <w:r>
        <w:rPr>
          <w:rFonts w:eastAsia="等线" w:ascii="Arial" w:cs="Arial" w:hAnsi="Arial"/>
          <w:sz w:val="22"/>
        </w:rPr>
        <w:t xml:space="preserve">：当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&lt;1−ϵ</m:t>
          </m:r>
        </m:oMath>
      </m:oMathPara>
      <w:r>
        <w:rPr>
          <w:rFonts w:eastAsia="等线" w:ascii="Arial" w:cs="Arial" w:hAnsi="Arial"/>
          <w:sz w:val="22"/>
        </w:rPr>
        <w:t>（例如 &lt; 0.8）时。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 xml:space="preserve">：此时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是负数。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surr1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⋅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</m:t>
          </m:r>
        </m:oMath>
      </m:oMathPara>
      <w:r>
        <w:rPr>
          <w:rFonts w:eastAsia="等线" w:ascii="Arial" w:cs="Arial" w:hAnsi="Arial"/>
          <w:sz w:val="22"/>
        </w:rPr>
        <w:t xml:space="preserve"> 越小，乘积越接近 0，也就是数值越大。例如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0.5×(−1)=−0.5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surr2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(1−ϵ)⋅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（锁死在底板。例如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0.8×(−1)=−0.8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比较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−0.8&lt;−0.5</m:t>
          </m:r>
        </m:oMath>
      </m:oMathPara>
      <w:r>
        <w:rPr>
          <w:rFonts w:eastAsia="等线" w:ascii="Arial" w:cs="Arial" w:hAnsi="Arial"/>
          <w:sz w:val="22"/>
        </w:rPr>
        <w:t xml:space="preserve">，即 </w:t>
      </w:r>
      <w:r>
        <w:rPr>
          <w:rFonts w:eastAsia="Consolas" w:ascii="Consolas" w:cs="Consolas" w:hAnsi="Consolas"/>
          <w:sz w:val="22"/>
          <w:shd w:fill="EFF0F1"/>
        </w:rPr>
        <w:t>surr2 &lt; surr1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Mask = 1</w:t>
      </w:r>
      <w:r>
        <w:rPr>
          <w:rFonts w:eastAsia="等线" w:ascii="Arial" w:cs="Arial" w:hAnsi="Arial"/>
          <w:sz w:val="22"/>
        </w:rPr>
        <w:t>。说明模型试图过度抹杀这个概率，系统强制“兜底”，保留了潜在的探索路径。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Consolas" w:ascii="Consolas" w:cs="Consolas" w:hAnsi="Consolas"/>
          <w:b w:val="true"/>
          <w:sz w:val="28"/>
          <w:shd w:fill="EFF0F1"/>
        </w:rPr>
        <w:t>clip_fraction</w:t>
      </w:r>
      <w:r>
        <w:rPr>
          <w:rFonts w:eastAsia="等线" w:ascii="Arial" w:cs="Arial" w:hAnsi="Arial"/>
          <w:b w:val="true"/>
          <w:sz w:val="28"/>
        </w:rPr>
        <w:t xml:space="preserve"> 的意义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clip_fraction</w:t>
      </w:r>
      <w:r>
        <w:rPr>
          <w:rFonts w:eastAsia="等线" w:ascii="Arial" w:cs="Arial" w:hAnsi="Arial"/>
          <w:sz w:val="22"/>
        </w:rPr>
        <w:t xml:space="preserve"> 统计了在一个 Batch 中，有多少比例的 Token 触发了上述两种“越界”行为。它是</w:t>
      </w:r>
      <w:r>
        <w:rPr>
          <w:rFonts w:eastAsia="等线" w:ascii="Arial" w:cs="Arial" w:hAnsi="Arial"/>
          <w:b w:val="true"/>
          <w:sz w:val="22"/>
        </w:rPr>
        <w:t>调整超参数的体温计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健康范围</w:t>
      </w:r>
      <w:r>
        <w:rPr>
          <w:rFonts w:eastAsia="等线" w:ascii="Arial" w:cs="Arial" w:hAnsi="Arial"/>
          <w:sz w:val="22"/>
        </w:rPr>
        <w:t>：通常在 “</w:t>
      </w:r>
      <w:r>
        <w:rPr>
          <w:rFonts w:eastAsia="等线" w:ascii="Arial" w:cs="Arial" w:hAnsi="Arial"/>
          <w:b w:val="true"/>
          <w:sz w:val="22"/>
        </w:rPr>
        <w:t>2% ~ 20%”【数值有待确定】</w:t>
      </w:r>
      <w:r>
        <w:rPr>
          <w:rFonts w:eastAsia="等线" w:ascii="Arial" w:cs="Arial" w:hAnsi="Arial"/>
          <w:sz w:val="22"/>
        </w:rPr>
        <w:t xml:space="preserve"> 之间。说明大部分更新是在信任区域内，少部分激进更新被修正了。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数值过高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诊断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学习率（LR）太大</w:t>
      </w:r>
      <w:r>
        <w:rPr>
          <w:rFonts w:eastAsia="等线" w:ascii="Arial" w:cs="Arial" w:hAnsi="Arial"/>
          <w:sz w:val="22"/>
        </w:rPr>
        <w:t>，或者</w:t>
      </w:r>
      <w:r>
        <w:rPr>
          <w:rFonts w:eastAsia="等线" w:ascii="Arial" w:cs="Arial" w:hAnsi="Arial"/>
          <w:b w:val="true"/>
          <w:sz w:val="22"/>
        </w:rPr>
        <w:t>旧策略（Old Policy）太旧了</w:t>
      </w:r>
      <w:r>
        <w:rPr>
          <w:rFonts w:eastAsia="等线" w:ascii="Arial" w:cs="Arial" w:hAnsi="Arial"/>
          <w:sz w:val="22"/>
        </w:rPr>
        <w:t>（Off-policy 迭代次数太多）。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后果</w:t>
      </w:r>
      <w:r>
        <w:rPr>
          <w:rFonts w:eastAsia="等线" w:ascii="Arial" w:cs="Arial" w:hAnsi="Arial"/>
          <w:sz w:val="22"/>
        </w:rPr>
        <w:t>：模型在反复撞墙，大量的梯度被归零，训练效率极低，且容易震荡。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数值过低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诊断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学习率太小</w:t>
      </w:r>
      <w:r>
        <w:rPr>
          <w:rFonts w:eastAsia="等线" w:ascii="Arial" w:cs="Arial" w:hAnsi="Arial"/>
          <w:sz w:val="22"/>
        </w:rPr>
        <w:t xml:space="preserve">，或者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ϵ</m:t>
          </m:r>
        </m:oMath>
      </m:oMathPara>
      <w:r>
        <w:rPr>
          <w:rFonts w:eastAsia="等线" w:ascii="Arial" w:cs="Arial" w:hAnsi="Arial"/>
          <w:sz w:val="22"/>
        </w:rPr>
        <w:t xml:space="preserve"> 设得太宽。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后果</w:t>
      </w:r>
      <w:r>
        <w:rPr>
          <w:rFonts w:eastAsia="等线" w:ascii="Arial" w:cs="Arial" w:hAnsi="Arial"/>
          <w:sz w:val="22"/>
        </w:rPr>
        <w:t>：模型走得太小心翼翼，训练极其缓慢，浪费了 PPO 允许大步更新的优势。</w:t>
      </w:r>
    </w:p>
    <w:p>
      <w:pPr>
        <w:spacing w:before="120" w:after="120" w:line="288" w:lineRule="auto"/>
        <w:ind w:left="907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1605">
    <w:lvl>
      <w:start w:val="1"/>
      <w:numFmt w:val="decimal"/>
      <w:suff w:val="tab"/>
      <w:lvlText w:val="%1."/>
      <w:rPr>
        <w:color w:val="3370ff"/>
      </w:rPr>
    </w:lvl>
  </w:abstractNum>
  <w:abstractNum w:abstractNumId="471606">
    <w:lvl>
      <w:start w:val="2"/>
      <w:numFmt w:val="decimal"/>
      <w:suff w:val="tab"/>
      <w:lvlText w:val="%1."/>
      <w:rPr>
        <w:color w:val="3370ff"/>
      </w:rPr>
    </w:lvl>
  </w:abstractNum>
  <w:abstractNum w:abstractNumId="471607">
    <w:lvl>
      <w:numFmt w:val="bullet"/>
      <w:suff w:val="tab"/>
      <w:lvlText w:val="•"/>
      <w:rPr>
        <w:color w:val="3370ff"/>
      </w:rPr>
    </w:lvl>
  </w:abstractNum>
  <w:abstractNum w:abstractNumId="471608">
    <w:lvl>
      <w:numFmt w:val="bullet"/>
      <w:suff w:val="tab"/>
      <w:lvlText w:val="•"/>
      <w:rPr>
        <w:color w:val="3370ff"/>
      </w:rPr>
    </w:lvl>
  </w:abstractNum>
  <w:abstractNum w:abstractNumId="471609">
    <w:lvl>
      <w:numFmt w:val="bullet"/>
      <w:suff w:val="tab"/>
      <w:lvlText w:val="•"/>
      <w:rPr>
        <w:color w:val="3370ff"/>
      </w:rPr>
    </w:lvl>
  </w:abstractNum>
  <w:abstractNum w:abstractNumId="471610">
    <w:lvl>
      <w:numFmt w:val="bullet"/>
      <w:suff w:val="tab"/>
      <w:lvlText w:val="•"/>
      <w:rPr>
        <w:color w:val="3370ff"/>
      </w:rPr>
    </w:lvl>
  </w:abstractNum>
  <w:abstractNum w:abstractNumId="471611">
    <w:lvl>
      <w:numFmt w:val="bullet"/>
      <w:suff w:val="tab"/>
      <w:lvlText w:val="•"/>
      <w:rPr>
        <w:color w:val="3370ff"/>
      </w:rPr>
    </w:lvl>
  </w:abstractNum>
  <w:abstractNum w:abstractNumId="471612">
    <w:lvl>
      <w:numFmt w:val="bullet"/>
      <w:suff w:val="tab"/>
      <w:lvlText w:val="•"/>
      <w:rPr>
        <w:color w:val="3370ff"/>
      </w:rPr>
    </w:lvl>
  </w:abstractNum>
  <w:abstractNum w:abstractNumId="471613">
    <w:lvl>
      <w:numFmt w:val="bullet"/>
      <w:suff w:val="tab"/>
      <w:lvlText w:val="•"/>
      <w:rPr>
        <w:color w:val="3370ff"/>
      </w:rPr>
    </w:lvl>
  </w:abstractNum>
  <w:abstractNum w:abstractNumId="471614">
    <w:lvl>
      <w:numFmt w:val="bullet"/>
      <w:suff w:val="tab"/>
      <w:lvlText w:val="•"/>
      <w:rPr>
        <w:color w:val="3370ff"/>
      </w:rPr>
    </w:lvl>
  </w:abstractNum>
  <w:abstractNum w:abstractNumId="471615">
    <w:lvl>
      <w:numFmt w:val="bullet"/>
      <w:suff w:val="tab"/>
      <w:lvlText w:val="•"/>
      <w:rPr>
        <w:color w:val="3370ff"/>
      </w:rPr>
    </w:lvl>
  </w:abstractNum>
  <w:abstractNum w:abstractNumId="471616">
    <w:lvl>
      <w:numFmt w:val="bullet"/>
      <w:suff w:val="tab"/>
      <w:lvlText w:val="•"/>
      <w:rPr>
        <w:color w:val="3370ff"/>
      </w:rPr>
    </w:lvl>
  </w:abstractNum>
  <w:abstractNum w:abstractNumId="471617">
    <w:lvl>
      <w:numFmt w:val="bullet"/>
      <w:suff w:val="tab"/>
      <w:lvlText w:val="•"/>
      <w:rPr>
        <w:color w:val="3370ff"/>
      </w:rPr>
    </w:lvl>
  </w:abstractNum>
  <w:abstractNum w:abstractNumId="471618">
    <w:lvl>
      <w:numFmt w:val="bullet"/>
      <w:suff w:val="tab"/>
      <w:lvlText w:val="￮"/>
      <w:rPr>
        <w:color w:val="3370ff"/>
      </w:rPr>
    </w:lvl>
  </w:abstractNum>
  <w:abstractNum w:abstractNumId="471619">
    <w:lvl>
      <w:numFmt w:val="bullet"/>
      <w:suff w:val="tab"/>
      <w:lvlText w:val="￮"/>
      <w:rPr>
        <w:color w:val="3370ff"/>
      </w:rPr>
    </w:lvl>
  </w:abstractNum>
  <w:abstractNum w:abstractNumId="471620">
    <w:lvl>
      <w:numFmt w:val="bullet"/>
      <w:suff w:val="tab"/>
      <w:lvlText w:val="￮"/>
      <w:rPr>
        <w:color w:val="3370ff"/>
      </w:rPr>
    </w:lvl>
  </w:abstractNum>
  <w:abstractNum w:abstractNumId="471621">
    <w:lvl>
      <w:numFmt w:val="bullet"/>
      <w:suff w:val="tab"/>
      <w:lvlText w:val="￮"/>
      <w:rPr>
        <w:color w:val="3370ff"/>
      </w:rPr>
    </w:lvl>
  </w:abstractNum>
  <w:abstractNum w:abstractNumId="471622">
    <w:lvl>
      <w:numFmt w:val="bullet"/>
      <w:suff w:val="tab"/>
      <w:lvlText w:val="•"/>
      <w:rPr>
        <w:color w:val="3370ff"/>
      </w:rPr>
    </w:lvl>
  </w:abstractNum>
  <w:abstractNum w:abstractNumId="471623">
    <w:lvl>
      <w:numFmt w:val="bullet"/>
      <w:suff w:val="tab"/>
      <w:lvlText w:val="•"/>
      <w:rPr>
        <w:color w:val="3370ff"/>
      </w:rPr>
    </w:lvl>
  </w:abstractNum>
  <w:abstractNum w:abstractNumId="471624">
    <w:lvl>
      <w:numFmt w:val="bullet"/>
      <w:suff w:val="tab"/>
      <w:lvlText w:val="￮"/>
      <w:rPr>
        <w:color w:val="3370ff"/>
      </w:rPr>
    </w:lvl>
  </w:abstractNum>
  <w:abstractNum w:abstractNumId="471625">
    <w:lvl>
      <w:numFmt w:val="bullet"/>
      <w:suff w:val="tab"/>
      <w:lvlText w:val="￮"/>
      <w:rPr>
        <w:color w:val="3370ff"/>
      </w:rPr>
    </w:lvl>
  </w:abstractNum>
  <w:abstractNum w:abstractNumId="471626">
    <w:lvl>
      <w:numFmt w:val="bullet"/>
      <w:suff w:val="tab"/>
      <w:lvlText w:val="￮"/>
      <w:rPr>
        <w:color w:val="3370ff"/>
      </w:rPr>
    </w:lvl>
  </w:abstractNum>
  <w:abstractNum w:abstractNumId="471627">
    <w:lvl>
      <w:numFmt w:val="bullet"/>
      <w:suff w:val="tab"/>
      <w:lvlText w:val="￮"/>
      <w:rPr>
        <w:color w:val="3370ff"/>
      </w:rPr>
    </w:lvl>
  </w:abstractNum>
  <w:abstractNum w:abstractNumId="471628">
    <w:lvl>
      <w:numFmt w:val="bullet"/>
      <w:suff w:val="tab"/>
      <w:lvlText w:val="￮"/>
      <w:rPr>
        <w:color w:val="3370ff"/>
      </w:rPr>
    </w:lvl>
  </w:abstractNum>
  <w:abstractNum w:abstractNumId="471629">
    <w:lvl>
      <w:start w:val="1"/>
      <w:numFmt w:val="decimal"/>
      <w:suff w:val="tab"/>
      <w:lvlText w:val="%1."/>
      <w:rPr>
        <w:color w:val="3370ff"/>
      </w:rPr>
    </w:lvl>
  </w:abstractNum>
  <w:abstractNum w:abstractNumId="471630">
    <w:lvl>
      <w:start w:val="2"/>
      <w:numFmt w:val="decimal"/>
      <w:suff w:val="tab"/>
      <w:lvlText w:val="%1."/>
      <w:rPr>
        <w:color w:val="3370ff"/>
      </w:rPr>
    </w:lvl>
  </w:abstractNum>
  <w:abstractNum w:abstractNumId="471631">
    <w:lvl>
      <w:numFmt w:val="bullet"/>
      <w:suff w:val="tab"/>
      <w:lvlText w:val="￮"/>
      <w:rPr>
        <w:color w:val="3370ff"/>
      </w:rPr>
    </w:lvl>
  </w:abstractNum>
  <w:abstractNum w:abstractNumId="471632">
    <w:lvl>
      <w:numFmt w:val="bullet"/>
      <w:suff w:val="tab"/>
      <w:lvlText w:val="￮"/>
      <w:rPr>
        <w:color w:val="3370ff"/>
      </w:rPr>
    </w:lvl>
  </w:abstractNum>
  <w:abstractNum w:abstractNumId="471633">
    <w:lvl>
      <w:start w:val="3"/>
      <w:numFmt w:val="decimal"/>
      <w:suff w:val="tab"/>
      <w:lvlText w:val="%1."/>
      <w:rPr>
        <w:color w:val="3370ff"/>
      </w:rPr>
    </w:lvl>
  </w:abstractNum>
  <w:abstractNum w:abstractNumId="471634">
    <w:lvl>
      <w:numFmt w:val="bullet"/>
      <w:suff w:val="tab"/>
      <w:lvlText w:val="￮"/>
      <w:rPr>
        <w:color w:val="3370ff"/>
      </w:rPr>
    </w:lvl>
  </w:abstractNum>
  <w:abstractNum w:abstractNumId="471635">
    <w:lvl>
      <w:numFmt w:val="bullet"/>
      <w:suff w:val="tab"/>
      <w:lvlText w:val="￮"/>
      <w:rPr>
        <w:color w:val="3370ff"/>
      </w:rPr>
    </w:lvl>
  </w:abstractNum>
  <w:num w:numId="1">
    <w:abstractNumId w:val="471605"/>
  </w:num>
  <w:num w:numId="2">
    <w:abstractNumId w:val="471606"/>
  </w:num>
  <w:num w:numId="3">
    <w:abstractNumId w:val="471607"/>
  </w:num>
  <w:num w:numId="4">
    <w:abstractNumId w:val="471608"/>
  </w:num>
  <w:num w:numId="5">
    <w:abstractNumId w:val="471609"/>
  </w:num>
  <w:num w:numId="6">
    <w:abstractNumId w:val="471610"/>
  </w:num>
  <w:num w:numId="7">
    <w:abstractNumId w:val="471611"/>
  </w:num>
  <w:num w:numId="8">
    <w:abstractNumId w:val="471612"/>
  </w:num>
  <w:num w:numId="9">
    <w:abstractNumId w:val="471613"/>
  </w:num>
  <w:num w:numId="10">
    <w:abstractNumId w:val="471614"/>
  </w:num>
  <w:num w:numId="11">
    <w:abstractNumId w:val="471615"/>
  </w:num>
  <w:num w:numId="12">
    <w:abstractNumId w:val="471616"/>
  </w:num>
  <w:num w:numId="13">
    <w:abstractNumId w:val="471617"/>
  </w:num>
  <w:num w:numId="14">
    <w:abstractNumId w:val="471618"/>
  </w:num>
  <w:num w:numId="15">
    <w:abstractNumId w:val="471619"/>
  </w:num>
  <w:num w:numId="16">
    <w:abstractNumId w:val="471620"/>
  </w:num>
  <w:num w:numId="17">
    <w:abstractNumId w:val="471621"/>
  </w:num>
  <w:num w:numId="18">
    <w:abstractNumId w:val="471622"/>
  </w:num>
  <w:num w:numId="19">
    <w:abstractNumId w:val="471623"/>
  </w:num>
  <w:num w:numId="20">
    <w:abstractNumId w:val="471624"/>
  </w:num>
  <w:num w:numId="21">
    <w:abstractNumId w:val="471625"/>
  </w:num>
  <w:num w:numId="22">
    <w:abstractNumId w:val="471626"/>
  </w:num>
  <w:num w:numId="23">
    <w:abstractNumId w:val="471627"/>
  </w:num>
  <w:num w:numId="24">
    <w:abstractNumId w:val="471628"/>
  </w:num>
  <w:num w:numId="25">
    <w:abstractNumId w:val="471629"/>
  </w:num>
  <w:num w:numId="26">
    <w:abstractNumId w:val="471630"/>
  </w:num>
  <w:num w:numId="27">
    <w:abstractNumId w:val="471631"/>
  </w:num>
  <w:num w:numId="28">
    <w:abstractNumId w:val="471632"/>
  </w:num>
  <w:num w:numId="29">
    <w:abstractNumId w:val="471633"/>
  </w:num>
  <w:num w:numId="30">
    <w:abstractNumId w:val="471634"/>
  </w:num>
  <w:num w:numId="31">
    <w:abstractNumId w:val="4716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2026-07-26T08:29:41Z</dcterms:created>
  <dc:creator>Apache POI</dc:creator>
</cp:coreProperties>
</file>