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5.5 GRPO 完整训练流程实现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GRPO 核心超参数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掌握完整算法闭环</w:t>
            </w:r>
            <w:r>
              <w:rPr>
                <w:rFonts w:eastAsia="等线" w:ascii="Arial" w:cs="Arial" w:hAnsi="Arial"/>
                <w:sz w:val="22"/>
              </w:rPr>
              <w:t>：理清从采样（Rollout）到多次梯度更新（Inner Loop）的逻辑递进关系。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核心超参数解析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GRPO 的超参数可以分为三类：训练控制、采样策略、以及算法特定参数。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训练控制参数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--n_grpo_steps</w:t>
      </w:r>
      <w:r>
        <w:rPr>
          <w:rFonts w:eastAsia="等线" w:ascii="Arial" w:cs="Arial" w:hAnsi="Arial"/>
          <w:b w:val="true"/>
          <w:sz w:val="22"/>
        </w:rPr>
        <w:t xml:space="preserve"> (200)</w:t>
      </w:r>
      <w:r>
        <w:rPr>
          <w:rFonts w:eastAsia="等线" w:ascii="Arial" w:cs="Arial" w:hAnsi="Arial"/>
          <w:sz w:val="22"/>
        </w:rPr>
        <w:t>：外层迭代总步数。每一步包含一次完整的“采样 + 训练”循环。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--lr</w:t>
      </w:r>
      <w:r>
        <w:rPr>
          <w:rFonts w:eastAsia="等线" w:ascii="Arial" w:cs="Arial" w:hAnsi="Arial"/>
          <w:b w:val="true"/>
          <w:sz w:val="22"/>
        </w:rPr>
        <w:t xml:space="preserve"> (1e-5)</w:t>
      </w:r>
      <w:r>
        <w:rPr>
          <w:rFonts w:eastAsia="等线" w:ascii="Arial" w:cs="Arial" w:hAnsi="Arial"/>
          <w:sz w:val="22"/>
        </w:rPr>
        <w:t>：学习率。由于 RL 梯度波动大，通常设得比 SFT 更低（1e-5 或更小）。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--train_batch_size</w:t>
      </w:r>
      <w:r>
        <w:rPr>
          <w:rFonts w:eastAsia="等线" w:ascii="Arial" w:cs="Arial" w:hAnsi="Arial"/>
          <w:b w:val="true"/>
          <w:sz w:val="22"/>
        </w:rPr>
        <w:t xml:space="preserve"> (256)</w:t>
      </w:r>
      <w:r>
        <w:rPr>
          <w:rFonts w:eastAsia="等线" w:ascii="Arial" w:cs="Arial" w:hAnsi="Arial"/>
          <w:sz w:val="22"/>
        </w:rPr>
        <w:t>：逻辑批大小（Logical Batch Size）。模型更新一次权重所参考的样本总数。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--gradient_accumulation_steps</w:t>
      </w:r>
      <w:r>
        <w:rPr>
          <w:rFonts w:eastAsia="等线" w:ascii="Arial" w:cs="Arial" w:hAnsi="Arial"/>
          <w:b w:val="true"/>
          <w:sz w:val="22"/>
        </w:rPr>
        <w:t xml:space="preserve"> (128)</w:t>
      </w:r>
      <w:r>
        <w:rPr>
          <w:rFonts w:eastAsia="等线" w:ascii="Arial" w:cs="Arial" w:hAnsi="Arial"/>
          <w:sz w:val="22"/>
        </w:rPr>
        <w:t xml:space="preserve">：梯度累积步数。用于在有限显存下模拟大 Batch，物理 Micro-batch 大小 = </w:t>
      </w:r>
      <w:r>
        <w:rPr>
          <w:rFonts w:eastAsia="Consolas" w:ascii="Consolas" w:cs="Consolas" w:hAnsi="Consolas"/>
          <w:sz w:val="22"/>
          <w:shd w:fill="EFF0F1"/>
        </w:rPr>
        <w:t>train_batch_size / gradient_accumulation_steps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--epochs_per_rollout_batch</w:t>
      </w:r>
      <w:r>
        <w:rPr>
          <w:rFonts w:eastAsia="等线" w:ascii="Arial" w:cs="Arial" w:hAnsi="Arial"/>
          <w:b w:val="true"/>
          <w:sz w:val="22"/>
        </w:rPr>
        <w:t xml:space="preserve"> (1)</w:t>
      </w:r>
      <w:r>
        <w:rPr>
          <w:rFonts w:eastAsia="等线" w:ascii="Arial" w:cs="Arial" w:hAnsi="Arial"/>
          <w:sz w:val="22"/>
        </w:rPr>
        <w:t>：Off-policy 数据复用次数。对同一批采样数据训练多少遍。增加此值可提高样本利用率，但过高会导致过拟合旧分布。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采样（Rollout）参数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--rollout_batch_size</w:t>
      </w:r>
      <w:r>
        <w:rPr>
          <w:rFonts w:eastAsia="等线" w:ascii="Arial" w:cs="Arial" w:hAnsi="Arial"/>
          <w:b w:val="true"/>
          <w:sz w:val="22"/>
        </w:rPr>
        <w:t xml:space="preserve"> (256)</w:t>
      </w:r>
      <w:r>
        <w:rPr>
          <w:rFonts w:eastAsia="等线" w:ascii="Arial" w:cs="Arial" w:hAnsi="Arial"/>
          <w:sz w:val="22"/>
        </w:rPr>
        <w:t>：每一轮外层迭代采样产生的回复总数。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--group_size</w:t>
      </w:r>
      <w:r>
        <w:rPr>
          <w:rFonts w:eastAsia="等线" w:ascii="Arial" w:cs="Arial" w:hAnsi="Arial"/>
          <w:b w:val="true"/>
          <w:sz w:val="22"/>
        </w:rPr>
        <w:t xml:space="preserve"> (G=8)</w:t>
      </w:r>
      <w:r>
        <w:rPr>
          <w:rFonts w:eastAsia="等线" w:ascii="Arial" w:cs="Arial" w:hAnsi="Arial"/>
          <w:sz w:val="22"/>
        </w:rPr>
        <w:t>：组大小。针对每个问题采样的回答个数。它是 GRPO 的灵魂，决定了优势估计（Advantage）的准确度。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</w:t>
      </w:r>
      <w:r>
        <w:rPr>
          <w:rFonts w:eastAsia="Consolas" w:ascii="Consolas" w:cs="Consolas" w:hAnsi="Consolas"/>
          <w:sz w:val="22"/>
          <w:shd w:fill="EFF0F1"/>
        </w:rPr>
        <w:t>rollout_batch_size / group_size</w:t>
      </w:r>
      <w:r>
        <w:rPr>
          <w:rFonts w:eastAsia="等线" w:ascii="Arial" w:cs="Arial" w:hAnsi="Arial"/>
          <w:i w:val="true"/>
          <w:sz w:val="22"/>
        </w:rPr>
        <w:t xml:space="preserve"> = 本轮处理的题目数量。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--sampling_temperature</w:t>
      </w:r>
      <w:r>
        <w:rPr>
          <w:rFonts w:eastAsia="等线" w:ascii="Arial" w:cs="Arial" w:hAnsi="Arial"/>
          <w:b w:val="true"/>
          <w:sz w:val="22"/>
        </w:rPr>
        <w:t xml:space="preserve"> (1.0)</w:t>
      </w:r>
      <w:r>
        <w:rPr>
          <w:rFonts w:eastAsia="等线" w:ascii="Arial" w:cs="Arial" w:hAnsi="Arial"/>
          <w:sz w:val="22"/>
        </w:rPr>
        <w:t>：控制采样多样性。温度越高，探索空间越大；温度越低，模型越倾向于复读高概率路径。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--sampling_max_tokens</w:t>
      </w:r>
      <w:r>
        <w:rPr>
          <w:rFonts w:eastAsia="等线" w:ascii="Arial" w:cs="Arial" w:hAnsi="Arial"/>
          <w:b w:val="true"/>
          <w:sz w:val="22"/>
        </w:rPr>
        <w:t xml:space="preserve"> (1024)</w:t>
      </w:r>
      <w:r>
        <w:rPr>
          <w:rFonts w:eastAsia="等线" w:ascii="Arial" w:cs="Arial" w:hAnsi="Arial"/>
          <w:sz w:val="22"/>
        </w:rPr>
        <w:t>：推理链（CoT）的最大生成长度。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--sampling_min_tokens</w:t>
      </w:r>
      <w:r>
        <w:rPr>
          <w:rFonts w:eastAsia="等线" w:ascii="Arial" w:cs="Arial" w:hAnsi="Arial"/>
          <w:b w:val="true"/>
          <w:sz w:val="22"/>
        </w:rPr>
        <w:t xml:space="preserve"> (4)</w:t>
      </w:r>
      <w:r>
        <w:rPr>
          <w:rFonts w:eastAsia="等线" w:ascii="Arial" w:cs="Arial" w:hAnsi="Arial"/>
          <w:sz w:val="22"/>
        </w:rPr>
        <w:t>：最小生成长度。强制要求模型输出内容，防止产生空字符串导致计算优势时出现 NaN。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--max_len</w:t>
      </w:r>
      <w:r>
        <w:rPr>
          <w:rFonts w:eastAsia="等线" w:ascii="Arial" w:cs="Arial" w:hAnsi="Arial"/>
          <w:b w:val="true"/>
          <w:sz w:val="22"/>
        </w:rPr>
        <w:t xml:space="preserve"> (2048)</w:t>
      </w:r>
      <w:r>
        <w:rPr>
          <w:rFonts w:eastAsia="等线" w:ascii="Arial" w:cs="Arial" w:hAnsi="Arial"/>
          <w:sz w:val="22"/>
        </w:rPr>
        <w:t>：训练时的序列最大长度（Prompt + Response）。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GRPO 特定参数</w:t>
      </w:r>
      <w:bookmarkEnd w:id="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--advantage_eps</w:t>
      </w:r>
      <w:r>
        <w:rPr>
          <w:rFonts w:eastAsia="等线" w:ascii="Arial" w:cs="Arial" w:hAnsi="Arial"/>
          <w:b w:val="true"/>
          <w:sz w:val="22"/>
        </w:rPr>
        <w:t xml:space="preserve"> (1e-6)</w:t>
      </w:r>
      <w:r>
        <w:rPr>
          <w:rFonts w:eastAsia="等线" w:ascii="Arial" w:cs="Arial" w:hAnsi="Arial"/>
          <w:sz w:val="22"/>
        </w:rPr>
        <w:t xml:space="preserve">：数值稳定性常数。当组内标准差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σ→0</m:t>
          </m:r>
        </m:oMath>
      </m:oMathPara>
      <w:r>
        <w:rPr>
          <w:rFonts w:eastAsia="等线" w:ascii="Arial" w:cs="Arial" w:hAnsi="Arial"/>
          <w:sz w:val="22"/>
        </w:rPr>
        <w:t xml:space="preserve"> 时防止除零。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--use_std_normalization</w:t>
      </w:r>
      <w:r>
        <w:rPr>
          <w:rFonts w:eastAsia="等线" w:ascii="Arial" w:cs="Arial" w:hAnsi="Arial"/>
          <w:sz w:val="22"/>
        </w:rPr>
        <w:t>：开关项。开启则使用标准 Z-score 归一化（Eq. 28），关闭则仅使用均值中心化（Eq. 31）。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--loss_type</w:t>
      </w:r>
      <w:r>
        <w:rPr>
          <w:rFonts w:eastAsia="等线" w:ascii="Arial" w:cs="Arial" w:hAnsi="Arial"/>
          <w:b w:val="true"/>
          <w:sz w:val="22"/>
        </w:rPr>
        <w:t xml:space="preserve"> ("grpo_clip")</w:t>
      </w:r>
      <w:r>
        <w:rPr>
          <w:rFonts w:eastAsia="等线" w:ascii="Arial" w:cs="Arial" w:hAnsi="Arial"/>
          <w:sz w:val="22"/>
        </w:rPr>
        <w:t>：指定损失函数形式。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--length_norm_type</w:t>
      </w:r>
      <w:r>
        <w:rPr>
          <w:rFonts w:eastAsia="等线" w:ascii="Arial" w:cs="Arial" w:hAnsi="Arial"/>
          <w:b w:val="true"/>
          <w:sz w:val="22"/>
        </w:rPr>
        <w:t xml:space="preserve"> ("mask_mean")</w:t>
      </w:r>
      <w:r>
        <w:rPr>
          <w:rFonts w:eastAsia="等线" w:ascii="Arial" w:cs="Arial" w:hAnsi="Arial"/>
          <w:sz w:val="22"/>
        </w:rPr>
        <w:t xml:space="preserve">：长度归一化策略。可选 </w:t>
      </w:r>
      <w:r>
        <w:rPr>
          <w:rFonts w:eastAsia="Consolas" w:ascii="Consolas" w:cs="Consolas" w:hAnsi="Consolas"/>
          <w:sz w:val="22"/>
          <w:shd w:fill="EFF0F1"/>
        </w:rPr>
        <w:t>mask_mean</w:t>
      </w:r>
      <w:r>
        <w:rPr>
          <w:rFonts w:eastAsia="等线" w:ascii="Arial" w:cs="Arial" w:hAnsi="Arial"/>
          <w:sz w:val="22"/>
        </w:rPr>
        <w:t xml:space="preserve">（样本平权）或 </w:t>
      </w:r>
      <w:r>
        <w:rPr>
          <w:rFonts w:eastAsia="Consolas" w:ascii="Consolas" w:cs="Consolas" w:hAnsi="Consolas"/>
          <w:sz w:val="22"/>
          <w:shd w:fill="EFF0F1"/>
        </w:rPr>
        <w:t>mask_normalize</w:t>
      </w:r>
      <w:r>
        <w:rPr>
          <w:rFonts w:eastAsia="等线" w:ascii="Arial" w:cs="Arial" w:hAnsi="Arial"/>
          <w:sz w:val="22"/>
        </w:rPr>
        <w:t>（Token 平权）。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 完整算法流程详解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基于代码实现的逻辑，GRPO 的训练是一个循环递进的过程：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初始化阶段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设定初始策略模型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init</m:t>
                  </m:r>
                </m:sub>
              </m:sSub>
            </m:sub>
          </m:sSub>
        </m:oMath>
      </m:oMathPara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init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外层迭代循环 (GRPO Outer Steps)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在每一个 Step 中，模型执行以下“闭环”操作：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A. 权重同步 (Sync)</w:t>
      </w:r>
      <w:r>
        <w:rPr>
          <w:rFonts w:eastAsia="等线" w:ascii="Arial" w:cs="Arial" w:hAnsi="Arial"/>
          <w:sz w:val="22"/>
        </w:rPr>
        <w:t xml:space="preserve">：将当前的训练权重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加载到 vLLM 推理引擎中，确保采样模型是最新的。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B. 组采样 (Rollout)</w:t>
      </w:r>
      <w:r>
        <w:rPr>
          <w:rFonts w:eastAsia="等线" w:ascii="Arial" w:cs="Arial" w:hAnsi="Arial"/>
          <w:sz w:val="22"/>
        </w:rPr>
        <w:t xml:space="preserve">：从训练集中随机抽取若干问题，利用 vLLM 对每个问题采样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个独立回复（此时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Temperature</m:t>
          </m:r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C. 优势评估 (Advantage Estimation)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调用规则奖励函数对所有回复打分（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计算组内统计量（Mean/Std）。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 Eq. 28 或 Eq. 31 计算出每个样本相对于组内的</w:t>
      </w:r>
      <w:r>
        <w:rPr>
          <w:rFonts w:eastAsia="等线" w:ascii="Arial" w:cs="Arial" w:hAnsi="Arial"/>
          <w:b w:val="true"/>
          <w:sz w:val="22"/>
        </w:rPr>
        <w:t xml:space="preserve">优势值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D. 准备旧概率 (Old Log-probs)</w:t>
      </w:r>
      <w:r>
        <w:rPr>
          <w:rFonts w:eastAsia="等线" w:ascii="Arial" w:cs="Arial" w:hAnsi="Arial"/>
          <w:sz w:val="22"/>
        </w:rPr>
        <w:t xml:space="preserve">：在开启更新前，记录当前模型对这批数据的对数概率（作为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），用于后续计算重要性采样比率和 Clipping。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E. 内部优化更新 (Inner Train Steps)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将采样数据打乱（Shuffle），进入训练子循环。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按照 </w:t>
      </w:r>
      <w:r>
        <w:rPr>
          <w:rFonts w:eastAsia="Consolas" w:ascii="Consolas" w:cs="Consolas" w:hAnsi="Consolas"/>
          <w:sz w:val="22"/>
          <w:shd w:fill="EFF0F1"/>
        </w:rPr>
        <w:t>train_batch_size</w:t>
      </w:r>
      <w:r>
        <w:rPr>
          <w:rFonts w:eastAsia="等线" w:ascii="Arial" w:cs="Arial" w:hAnsi="Arial"/>
          <w:sz w:val="22"/>
        </w:rPr>
        <w:t xml:space="preserve"> 划分逻辑批次。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执行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次梯度累积（Micro-batches）：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前向传播计算新概率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计算比率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计算带有截断机制的 GRPO 损失。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执行反向传播。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执行 </w:t>
      </w:r>
      <w:r>
        <w:rPr>
          <w:rFonts w:eastAsia="Consolas" w:ascii="Consolas" w:cs="Consolas" w:hAnsi="Consolas"/>
          <w:sz w:val="22"/>
          <w:shd w:fill="EFF0F1"/>
        </w:rPr>
        <w:t>optimizer.step()</w:t>
      </w:r>
      <w:r>
        <w:rPr>
          <w:rFonts w:eastAsia="等线" w:ascii="Arial" w:cs="Arial" w:hAnsi="Arial"/>
          <w:sz w:val="22"/>
        </w:rPr>
        <w:t xml:space="preserve"> 更新模型参数 $\theta$。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 周期性评估(Evaluation &amp; Saving)</w:t>
      </w:r>
      <w:bookmarkEnd w:id="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个外层 Step，在验证集上执行 Greedy 采样（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Temperature</m:t>
          </m:r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），评估模型真实的准确率（Accuracy）。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 Checkpoint，记录 WandB 日志（Loss, Entropy, Clip Fraction, Reward）。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5443">
    <w:lvl>
      <w:start w:val="1"/>
      <w:numFmt w:val="decimal"/>
      <w:suff w:val="tab"/>
      <w:lvlText w:val="%1."/>
      <w:rPr>
        <w:color w:val="3370ff"/>
      </w:rPr>
    </w:lvl>
  </w:abstractNum>
  <w:abstractNum w:abstractNumId="695444">
    <w:lvl>
      <w:start w:val="2"/>
      <w:numFmt w:val="decimal"/>
      <w:suff w:val="tab"/>
      <w:lvlText w:val="%1."/>
      <w:rPr>
        <w:color w:val="3370ff"/>
      </w:rPr>
    </w:lvl>
  </w:abstractNum>
  <w:abstractNum w:abstractNumId="695445">
    <w:lvl>
      <w:numFmt w:val="bullet"/>
      <w:suff w:val="tab"/>
      <w:lvlText w:val="•"/>
      <w:rPr>
        <w:color w:val="3370ff"/>
      </w:rPr>
    </w:lvl>
  </w:abstractNum>
  <w:abstractNum w:abstractNumId="695446">
    <w:lvl>
      <w:numFmt w:val="bullet"/>
      <w:suff w:val="tab"/>
      <w:lvlText w:val="•"/>
      <w:rPr>
        <w:color w:val="3370ff"/>
      </w:rPr>
    </w:lvl>
  </w:abstractNum>
  <w:abstractNum w:abstractNumId="695447">
    <w:lvl>
      <w:numFmt w:val="bullet"/>
      <w:suff w:val="tab"/>
      <w:lvlText w:val="•"/>
      <w:rPr>
        <w:color w:val="3370ff"/>
      </w:rPr>
    </w:lvl>
  </w:abstractNum>
  <w:abstractNum w:abstractNumId="695448">
    <w:lvl>
      <w:numFmt w:val="bullet"/>
      <w:suff w:val="tab"/>
      <w:lvlText w:val="•"/>
      <w:rPr>
        <w:color w:val="3370ff"/>
      </w:rPr>
    </w:lvl>
  </w:abstractNum>
  <w:abstractNum w:abstractNumId="695449">
    <w:lvl>
      <w:numFmt w:val="bullet"/>
      <w:suff w:val="tab"/>
      <w:lvlText w:val="•"/>
      <w:rPr>
        <w:color w:val="3370ff"/>
      </w:rPr>
    </w:lvl>
  </w:abstractNum>
  <w:abstractNum w:abstractNumId="695450">
    <w:lvl>
      <w:numFmt w:val="bullet"/>
      <w:suff w:val="tab"/>
      <w:lvlText w:val="•"/>
      <w:rPr>
        <w:color w:val="3370ff"/>
      </w:rPr>
    </w:lvl>
  </w:abstractNum>
  <w:abstractNum w:abstractNumId="695451">
    <w:lvl>
      <w:numFmt w:val="bullet"/>
      <w:suff w:val="tab"/>
      <w:lvlText w:val="•"/>
      <w:rPr>
        <w:color w:val="3370ff"/>
      </w:rPr>
    </w:lvl>
  </w:abstractNum>
  <w:abstractNum w:abstractNumId="695452">
    <w:lvl>
      <w:numFmt w:val="bullet"/>
      <w:suff w:val="tab"/>
      <w:lvlText w:val="￮"/>
      <w:rPr>
        <w:color w:val="3370ff"/>
      </w:rPr>
    </w:lvl>
  </w:abstractNum>
  <w:abstractNum w:abstractNumId="695453">
    <w:lvl>
      <w:numFmt w:val="bullet"/>
      <w:suff w:val="tab"/>
      <w:lvlText w:val="•"/>
      <w:rPr>
        <w:color w:val="3370ff"/>
      </w:rPr>
    </w:lvl>
  </w:abstractNum>
  <w:abstractNum w:abstractNumId="695454">
    <w:lvl>
      <w:numFmt w:val="bullet"/>
      <w:suff w:val="tab"/>
      <w:lvlText w:val="•"/>
      <w:rPr>
        <w:color w:val="3370ff"/>
      </w:rPr>
    </w:lvl>
  </w:abstractNum>
  <w:abstractNum w:abstractNumId="695455">
    <w:lvl>
      <w:numFmt w:val="bullet"/>
      <w:suff w:val="tab"/>
      <w:lvlText w:val="•"/>
      <w:rPr>
        <w:color w:val="3370ff"/>
      </w:rPr>
    </w:lvl>
  </w:abstractNum>
  <w:abstractNum w:abstractNumId="695456">
    <w:lvl>
      <w:numFmt w:val="bullet"/>
      <w:suff w:val="tab"/>
      <w:lvlText w:val="•"/>
      <w:rPr>
        <w:color w:val="3370ff"/>
      </w:rPr>
    </w:lvl>
  </w:abstractNum>
  <w:abstractNum w:abstractNumId="695457">
    <w:lvl>
      <w:numFmt w:val="bullet"/>
      <w:suff w:val="tab"/>
      <w:lvlText w:val="•"/>
      <w:rPr>
        <w:color w:val="3370ff"/>
      </w:rPr>
    </w:lvl>
  </w:abstractNum>
  <w:abstractNum w:abstractNumId="695458">
    <w:lvl>
      <w:numFmt w:val="bullet"/>
      <w:suff w:val="tab"/>
      <w:lvlText w:val="•"/>
      <w:rPr>
        <w:color w:val="3370ff"/>
      </w:rPr>
    </w:lvl>
  </w:abstractNum>
  <w:abstractNum w:abstractNumId="695459">
    <w:lvl>
      <w:numFmt w:val="bullet"/>
      <w:suff w:val="tab"/>
      <w:lvlText w:val="•"/>
      <w:rPr>
        <w:color w:val="3370ff"/>
      </w:rPr>
    </w:lvl>
  </w:abstractNum>
  <w:abstractNum w:abstractNumId="695460">
    <w:lvl>
      <w:numFmt w:val="bullet"/>
      <w:suff w:val="tab"/>
      <w:lvlText w:val="•"/>
      <w:rPr>
        <w:color w:val="3370ff"/>
      </w:rPr>
    </w:lvl>
  </w:abstractNum>
  <w:abstractNum w:abstractNumId="695461">
    <w:lvl>
      <w:numFmt w:val="bullet"/>
      <w:suff w:val="tab"/>
      <w:lvlText w:val="•"/>
      <w:rPr>
        <w:color w:val="3370ff"/>
      </w:rPr>
    </w:lvl>
  </w:abstractNum>
  <w:abstractNum w:abstractNumId="695462">
    <w:lvl>
      <w:numFmt w:val="bullet"/>
      <w:suff w:val="tab"/>
      <w:lvlText w:val="•"/>
      <w:rPr>
        <w:color w:val="3370ff"/>
      </w:rPr>
    </w:lvl>
  </w:abstractNum>
  <w:abstractNum w:abstractNumId="695463">
    <w:lvl>
      <w:numFmt w:val="bullet"/>
      <w:suff w:val="tab"/>
      <w:lvlText w:val="•"/>
      <w:rPr>
        <w:color w:val="3370ff"/>
      </w:rPr>
    </w:lvl>
  </w:abstractNum>
  <w:abstractNum w:abstractNumId="695464">
    <w:lvl>
      <w:numFmt w:val="bullet"/>
      <w:suff w:val="tab"/>
      <w:lvlText w:val="•"/>
      <w:rPr>
        <w:color w:val="3370ff"/>
      </w:rPr>
    </w:lvl>
  </w:abstractNum>
  <w:abstractNum w:abstractNumId="695465">
    <w:lvl>
      <w:numFmt w:val="bullet"/>
      <w:suff w:val="tab"/>
      <w:lvlText w:val="•"/>
      <w:rPr>
        <w:color w:val="3370ff"/>
      </w:rPr>
    </w:lvl>
  </w:abstractNum>
  <w:abstractNum w:abstractNumId="695466">
    <w:lvl>
      <w:start w:val="1"/>
      <w:numFmt w:val="lowerLetter"/>
      <w:suff w:val="tab"/>
      <w:lvlText w:val="%1."/>
      <w:rPr>
        <w:color w:val="3370ff"/>
      </w:rPr>
    </w:lvl>
  </w:abstractNum>
  <w:abstractNum w:abstractNumId="695467">
    <w:lvl>
      <w:start w:val="2"/>
      <w:numFmt w:val="lowerLetter"/>
      <w:suff w:val="tab"/>
      <w:lvlText w:val="%1."/>
      <w:rPr>
        <w:color w:val="3370ff"/>
      </w:rPr>
    </w:lvl>
  </w:abstractNum>
  <w:abstractNum w:abstractNumId="695468">
    <w:lvl>
      <w:start w:val="3"/>
      <w:numFmt w:val="lowerLetter"/>
      <w:suff w:val="tab"/>
      <w:lvlText w:val="%1."/>
      <w:rPr>
        <w:color w:val="3370ff"/>
      </w:rPr>
    </w:lvl>
  </w:abstractNum>
  <w:abstractNum w:abstractNumId="695469">
    <w:lvl>
      <w:numFmt w:val="bullet"/>
      <w:suff w:val="tab"/>
      <w:lvlText w:val="•"/>
      <w:rPr>
        <w:color w:val="3370ff"/>
      </w:rPr>
    </w:lvl>
  </w:abstractNum>
  <w:abstractNum w:abstractNumId="695470">
    <w:lvl>
      <w:numFmt w:val="bullet"/>
      <w:suff w:val="tab"/>
      <w:lvlText w:val="•"/>
      <w:rPr>
        <w:color w:val="3370ff"/>
      </w:rPr>
    </w:lvl>
  </w:abstractNum>
  <w:abstractNum w:abstractNumId="695471">
    <w:lvl>
      <w:numFmt w:val="bullet"/>
      <w:suff w:val="tab"/>
      <w:lvlText w:val="￮"/>
      <w:rPr>
        <w:color w:val="3370ff"/>
      </w:rPr>
    </w:lvl>
  </w:abstractNum>
  <w:abstractNum w:abstractNumId="695472">
    <w:lvl>
      <w:numFmt w:val="bullet"/>
      <w:suff w:val="tab"/>
      <w:lvlText w:val="￮"/>
      <w:rPr>
        <w:color w:val="3370ff"/>
      </w:rPr>
    </w:lvl>
  </w:abstractNum>
  <w:abstractNum w:abstractNumId="695473">
    <w:lvl>
      <w:numFmt w:val="bullet"/>
      <w:suff w:val="tab"/>
      <w:lvlText w:val="￮"/>
      <w:rPr>
        <w:color w:val="3370ff"/>
      </w:rPr>
    </w:lvl>
  </w:abstractNum>
  <w:abstractNum w:abstractNumId="695474">
    <w:lvl>
      <w:start w:val="1"/>
      <w:numFmt w:val="lowerRoman"/>
      <w:suff w:val="tab"/>
      <w:lvlText w:val="%1."/>
      <w:rPr>
        <w:color w:val="3370ff"/>
      </w:rPr>
    </w:lvl>
  </w:abstractNum>
  <w:abstractNum w:abstractNumId="695475">
    <w:lvl>
      <w:start w:val="2"/>
      <w:numFmt w:val="lowerRoman"/>
      <w:suff w:val="tab"/>
      <w:lvlText w:val="%1."/>
      <w:rPr>
        <w:color w:val="3370ff"/>
      </w:rPr>
    </w:lvl>
  </w:abstractNum>
  <w:abstractNum w:abstractNumId="695476">
    <w:lvl>
      <w:start w:val="3"/>
      <w:numFmt w:val="lowerRoman"/>
      <w:suff w:val="tab"/>
      <w:lvlText w:val="%1."/>
      <w:rPr>
        <w:color w:val="3370ff"/>
      </w:rPr>
    </w:lvl>
  </w:abstractNum>
  <w:abstractNum w:abstractNumId="695477">
    <w:lvl>
      <w:start w:val="4"/>
      <w:numFmt w:val="lowerRoman"/>
      <w:suff w:val="tab"/>
      <w:lvlText w:val="%1."/>
      <w:rPr>
        <w:color w:val="3370ff"/>
      </w:rPr>
    </w:lvl>
  </w:abstractNum>
  <w:abstractNum w:abstractNumId="695478">
    <w:lvl>
      <w:numFmt w:val="bullet"/>
      <w:suff w:val="tab"/>
      <w:lvlText w:val="￮"/>
      <w:rPr>
        <w:color w:val="3370ff"/>
      </w:rPr>
    </w:lvl>
  </w:abstractNum>
  <w:abstractNum w:abstractNumId="695479">
    <w:lvl>
      <w:numFmt w:val="bullet"/>
      <w:suff w:val="tab"/>
      <w:lvlText w:val="•"/>
      <w:rPr>
        <w:color w:val="3370ff"/>
      </w:rPr>
    </w:lvl>
  </w:abstractNum>
  <w:abstractNum w:abstractNumId="695480">
    <w:lvl>
      <w:numFmt w:val="bullet"/>
      <w:suff w:val="tab"/>
      <w:lvlText w:val="•"/>
      <w:rPr>
        <w:color w:val="3370ff"/>
      </w:rPr>
    </w:lvl>
  </w:abstractNum>
  <w:num w:numId="1">
    <w:abstractNumId w:val="695443"/>
  </w:num>
  <w:num w:numId="2">
    <w:abstractNumId w:val="695444"/>
  </w:num>
  <w:num w:numId="3">
    <w:abstractNumId w:val="695445"/>
  </w:num>
  <w:num w:numId="4">
    <w:abstractNumId w:val="695446"/>
  </w:num>
  <w:num w:numId="5">
    <w:abstractNumId w:val="695447"/>
  </w:num>
  <w:num w:numId="6">
    <w:abstractNumId w:val="695448"/>
  </w:num>
  <w:num w:numId="7">
    <w:abstractNumId w:val="695449"/>
  </w:num>
  <w:num w:numId="8">
    <w:abstractNumId w:val="695450"/>
  </w:num>
  <w:num w:numId="9">
    <w:abstractNumId w:val="695451"/>
  </w:num>
  <w:num w:numId="10">
    <w:abstractNumId w:val="695452"/>
  </w:num>
  <w:num w:numId="11">
    <w:abstractNumId w:val="695453"/>
  </w:num>
  <w:num w:numId="12">
    <w:abstractNumId w:val="695454"/>
  </w:num>
  <w:num w:numId="13">
    <w:abstractNumId w:val="695455"/>
  </w:num>
  <w:num w:numId="14">
    <w:abstractNumId w:val="695456"/>
  </w:num>
  <w:num w:numId="15">
    <w:abstractNumId w:val="695457"/>
  </w:num>
  <w:num w:numId="16">
    <w:abstractNumId w:val="695458"/>
  </w:num>
  <w:num w:numId="17">
    <w:abstractNumId w:val="695459"/>
  </w:num>
  <w:num w:numId="18">
    <w:abstractNumId w:val="695460"/>
  </w:num>
  <w:num w:numId="19">
    <w:abstractNumId w:val="695461"/>
  </w:num>
  <w:num w:numId="20">
    <w:abstractNumId w:val="695462"/>
  </w:num>
  <w:num w:numId="21">
    <w:abstractNumId w:val="695463"/>
  </w:num>
  <w:num w:numId="22">
    <w:abstractNumId w:val="695464"/>
  </w:num>
  <w:num w:numId="23">
    <w:abstractNumId w:val="695465"/>
  </w:num>
  <w:num w:numId="24">
    <w:abstractNumId w:val="695466"/>
  </w:num>
  <w:num w:numId="25">
    <w:abstractNumId w:val="695467"/>
  </w:num>
  <w:num w:numId="26">
    <w:abstractNumId w:val="695468"/>
  </w:num>
  <w:num w:numId="27">
    <w:abstractNumId w:val="695469"/>
  </w:num>
  <w:num w:numId="28">
    <w:abstractNumId w:val="695470"/>
  </w:num>
  <w:num w:numId="29">
    <w:abstractNumId w:val="695471"/>
  </w:num>
  <w:num w:numId="30">
    <w:abstractNumId w:val="695472"/>
  </w:num>
  <w:num w:numId="31">
    <w:abstractNumId w:val="695473"/>
  </w:num>
  <w:num w:numId="32">
    <w:abstractNumId w:val="695474"/>
  </w:num>
  <w:num w:numId="33">
    <w:abstractNumId w:val="695475"/>
  </w:num>
  <w:num w:numId="34">
    <w:abstractNumId w:val="695476"/>
  </w:num>
  <w:num w:numId="35">
    <w:abstractNumId w:val="695477"/>
  </w:num>
  <w:num w:numId="36">
    <w:abstractNumId w:val="695478"/>
  </w:num>
  <w:num w:numId="37">
    <w:abstractNumId w:val="695479"/>
  </w:num>
  <w:num w:numId="38">
    <w:abstractNumId w:val="6954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2026-07-26T08:29:46Z</dcterms:created>
  <dc:creator>Apache POI</dc:creator>
</cp:coreProperties>
</file>