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6.7 提示词敏感性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Math 12k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固定超参数：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lr：3e-5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epochs_per_rollout_batch：1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gradient_accumulation_steps：128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group_size：8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length_norm_type：mask_mean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loss_type：grpo_clip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rollout_batch_size：256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train_batch_size：256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use_std_normalization：false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https://wandb.ai/1615629622/cs336-grpo-math12k-prompt?nw=nwuser1615629622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实验结果分析：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r1_zero：效果稳定提升（15.6%--&gt;53.8%）,100个step后仍未收敛。r1_zero的输出长度从400增长到900左右。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question_only：初始acc就很高（57.6%），经过短暂的step后，提升到65%，随后长期训练效果几乎没有提升。question_only的输出长度基本维持在1600左右。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输出长度：不同 prompt 形式显著影响模型生成长度分布。</w:t>
      </w:r>
      <w:r>
        <w:rPr>
          <w:rFonts w:eastAsia="等线" w:ascii="Arial" w:cs="Arial" w:hAnsi="Arial"/>
          <w:b w:val="true"/>
          <w:sz w:val="22"/>
        </w:rPr>
        <w:t>question_only</w:t>
      </w:r>
      <w:r>
        <w:rPr>
          <w:rFonts w:eastAsia="等线" w:ascii="Arial" w:cs="Arial" w:hAnsi="Arial"/>
          <w:sz w:val="22"/>
        </w:rPr>
        <w:t xml:space="preserve"> 的输出长度在训练过程中基本保持稳定，表明策略主要进行局部概率调整，优化空间有限；而 </w:t>
      </w:r>
      <w:r>
        <w:rPr>
          <w:rFonts w:eastAsia="等线" w:ascii="Arial" w:cs="Arial" w:hAnsi="Arial"/>
          <w:b w:val="true"/>
          <w:sz w:val="22"/>
        </w:rPr>
        <w:t xml:space="preserve">r1_zero </w:t>
      </w:r>
      <w:r>
        <w:rPr>
          <w:rFonts w:eastAsia="等线" w:ascii="Arial" w:cs="Arial" w:hAnsi="Arial"/>
          <w:sz w:val="22"/>
        </w:rPr>
        <w:t>的输出长度随训练显著增长，说明策略分布发生结构性变化，从而为性能持续提升提供了更大的优化空间。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准确率：</w:t>
      </w:r>
      <w:r>
        <w:rPr>
          <w:rFonts w:eastAsia="等线" w:ascii="Arial" w:cs="Arial" w:hAnsi="Arial"/>
          <w:b w:val="true"/>
          <w:sz w:val="22"/>
        </w:rPr>
        <w:t>question_only</w:t>
      </w:r>
      <w:r>
        <w:rPr>
          <w:rFonts w:eastAsia="等线" w:ascii="Arial" w:cs="Arial" w:hAnsi="Arial"/>
          <w:sz w:val="22"/>
        </w:rPr>
        <w:t xml:space="preserve"> 提供的信息结构较简单，模型更接近预训练阶段的分布，因此初始性能较高。</w:t>
      </w:r>
      <w:r>
        <w:rPr>
          <w:rFonts w:eastAsia="等线" w:ascii="Arial" w:cs="Arial" w:hAnsi="Arial"/>
          <w:sz w:val="22"/>
          <w:u w:val="single"/>
        </w:rPr>
        <w:t>但由于缺乏显式推理引导，策略改进空间有限</w:t>
      </w:r>
      <w:r>
        <w:rPr>
          <w:rFonts w:eastAsia="等线" w:ascii="Arial" w:cs="Arial" w:hAnsi="Arial"/>
          <w:sz w:val="22"/>
        </w:rPr>
        <w:t>，训练较快进入收敛平台。</w:t>
      </w:r>
      <w:r>
        <w:rPr>
          <w:rFonts w:eastAsia="等线" w:ascii="Arial" w:cs="Arial" w:hAnsi="Arial"/>
          <w:b w:val="true"/>
          <w:sz w:val="22"/>
        </w:rPr>
        <w:t>r1_zero</w:t>
      </w:r>
      <w:r>
        <w:rPr>
          <w:rFonts w:eastAsia="等线" w:ascii="Arial" w:cs="Arial" w:hAnsi="Arial"/>
          <w:sz w:val="22"/>
        </w:rPr>
        <w:t xml:space="preserve"> 在初始阶段偏离模型原有生成模式，导致起始准确率较低，但其结构可能为策略提供更大的优化空间，使得强化学习阶段能够持续挖掘性能潜力，因此表现出更强的长期提升趋势。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GSM8K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wandb链接：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https://wandb.ai/1615629622/cs336-grpo-gsm8k-prompt?nw=nwuser1615629622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3980">
    <w:lvl>
      <w:start w:val="1"/>
      <w:numFmt w:val="lowerLetter"/>
      <w:suff w:val="tab"/>
      <w:lvlText w:val="%1."/>
      <w:rPr>
        <w:color w:val="3370ff"/>
      </w:rPr>
    </w:lvl>
  </w:abstractNum>
  <w:abstractNum w:abstractNumId="653981">
    <w:lvl>
      <w:start w:val="2"/>
      <w:numFmt w:val="lowerLetter"/>
      <w:suff w:val="tab"/>
      <w:lvlText w:val="%1."/>
      <w:rPr>
        <w:color w:val="3370ff"/>
      </w:rPr>
    </w:lvl>
  </w:abstractNum>
  <w:abstractNum w:abstractNumId="653982">
    <w:lvl>
      <w:start w:val="3"/>
      <w:numFmt w:val="lowerLetter"/>
      <w:suff w:val="tab"/>
      <w:lvlText w:val="%1."/>
      <w:rPr>
        <w:color w:val="3370ff"/>
      </w:rPr>
    </w:lvl>
  </w:abstractNum>
  <w:abstractNum w:abstractNumId="653983">
    <w:lvl>
      <w:start w:val="4"/>
      <w:numFmt w:val="lowerLetter"/>
      <w:suff w:val="tab"/>
      <w:lvlText w:val="%1."/>
      <w:rPr>
        <w:color w:val="3370ff"/>
      </w:rPr>
    </w:lvl>
  </w:abstractNum>
  <w:abstractNum w:abstractNumId="653984">
    <w:lvl>
      <w:start w:val="5"/>
      <w:numFmt w:val="lowerLetter"/>
      <w:suff w:val="tab"/>
      <w:lvlText w:val="%1."/>
      <w:rPr>
        <w:color w:val="3370ff"/>
      </w:rPr>
    </w:lvl>
  </w:abstractNum>
  <w:abstractNum w:abstractNumId="653985">
    <w:lvl>
      <w:start w:val="6"/>
      <w:numFmt w:val="lowerLetter"/>
      <w:suff w:val="tab"/>
      <w:lvlText w:val="%1."/>
      <w:rPr>
        <w:color w:val="3370ff"/>
      </w:rPr>
    </w:lvl>
  </w:abstractNum>
  <w:abstractNum w:abstractNumId="653986">
    <w:lvl>
      <w:start w:val="7"/>
      <w:numFmt w:val="lowerLetter"/>
      <w:suff w:val="tab"/>
      <w:lvlText w:val="%1."/>
      <w:rPr>
        <w:color w:val="3370ff"/>
      </w:rPr>
    </w:lvl>
  </w:abstractNum>
  <w:abstractNum w:abstractNumId="653987">
    <w:lvl>
      <w:start w:val="8"/>
      <w:numFmt w:val="lowerLetter"/>
      <w:suff w:val="tab"/>
      <w:lvlText w:val="%1."/>
      <w:rPr>
        <w:color w:val="3370ff"/>
      </w:rPr>
    </w:lvl>
  </w:abstractNum>
  <w:abstractNum w:abstractNumId="653988">
    <w:lvl>
      <w:start w:val="9"/>
      <w:numFmt w:val="lowerLetter"/>
      <w:suff w:val="tab"/>
      <w:lvlText w:val="%1."/>
      <w:rPr>
        <w:color w:val="3370ff"/>
      </w:rPr>
    </w:lvl>
  </w:abstractNum>
  <w:abstractNum w:abstractNumId="653989">
    <w:lvl>
      <w:numFmt w:val="bullet"/>
      <w:suff w:val="tab"/>
      <w:lvlText w:val="•"/>
      <w:rPr>
        <w:color w:val="3370ff"/>
      </w:rPr>
    </w:lvl>
  </w:abstractNum>
  <w:abstractNum w:abstractNumId="653990">
    <w:lvl>
      <w:numFmt w:val="bullet"/>
      <w:suff w:val="tab"/>
      <w:lvlText w:val="•"/>
      <w:rPr>
        <w:color w:val="3370ff"/>
      </w:rPr>
    </w:lvl>
  </w:abstractNum>
  <w:abstractNum w:abstractNumId="653991">
    <w:lvl>
      <w:numFmt w:val="bullet"/>
      <w:suff w:val="tab"/>
      <w:lvlText w:val="•"/>
      <w:rPr>
        <w:color w:val="3370ff"/>
      </w:rPr>
    </w:lvl>
  </w:abstractNum>
  <w:abstractNum w:abstractNumId="653992">
    <w:lvl>
      <w:numFmt w:val="bullet"/>
      <w:suff w:val="tab"/>
      <w:lvlText w:val="￮"/>
      <w:rPr>
        <w:color w:val="3370ff"/>
      </w:rPr>
    </w:lvl>
  </w:abstractNum>
  <w:abstractNum w:abstractNumId="653993">
    <w:lvl>
      <w:numFmt w:val="bullet"/>
      <w:suff w:val="tab"/>
      <w:lvlText w:val="￮"/>
      <w:rPr>
        <w:color w:val="3370ff"/>
      </w:rPr>
    </w:lvl>
  </w:abstractNum>
  <w:num w:numId="1">
    <w:abstractNumId w:val="653980"/>
  </w:num>
  <w:num w:numId="2">
    <w:abstractNumId w:val="653981"/>
  </w:num>
  <w:num w:numId="3">
    <w:abstractNumId w:val="653982"/>
  </w:num>
  <w:num w:numId="4">
    <w:abstractNumId w:val="653983"/>
  </w:num>
  <w:num w:numId="5">
    <w:abstractNumId w:val="653984"/>
  </w:num>
  <w:num w:numId="6">
    <w:abstractNumId w:val="653985"/>
  </w:num>
  <w:num w:numId="7">
    <w:abstractNumId w:val="653986"/>
  </w:num>
  <w:num w:numId="8">
    <w:abstractNumId w:val="653987"/>
  </w:num>
  <w:num w:numId="9">
    <w:abstractNumId w:val="653988"/>
  </w:num>
  <w:num w:numId="10">
    <w:abstractNumId w:val="653989"/>
  </w:num>
  <w:num w:numId="11">
    <w:abstractNumId w:val="653990"/>
  </w:num>
  <w:num w:numId="12">
    <w:abstractNumId w:val="653991"/>
  </w:num>
  <w:num w:numId="13">
    <w:abstractNumId w:val="653992"/>
  </w:num>
  <w:num w:numId="14">
    <w:abstractNumId w:val="6539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2026-07-26T08:30:05Z</dcterms:created>
  <dc:creator>Apache POI</dc:creator>
</cp:coreProperties>
</file>