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1.1 通用助手</w:t>
      </w:r>
    </w:p>
    <w:tbl>
      <w:tblPr>
        <w:tblW w:w="0" w:type="auto"/>
        <w:tblInd w:w="0" w:type="dxa"/>
        <w:tblBorders>
          <w:top w:val="single" w:color="82a7fc"/>
          <w:left w:val="single" w:color="82a7fc"/>
          <w:bottom w:val="single" w:color="82a7fc"/>
          <w:right w:val="single" w:color="82a7fc"/>
          <w:insideH w:val="single" w:color="82a7fc"/>
          <w:insideV w:val="single" w:color="82a7fc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d9f5d6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本节目标：</w:t>
            </w:r>
          </w:p>
          <w:p>
            <w:pPr>
              <w:numPr>
                <w:numId w:val="1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定义并区分通用助手模型与推理模型的核心特征。</w:t>
            </w:r>
          </w:p>
          <w:p>
            <w:pPr>
              <w:numPr>
                <w:numId w:val="2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掌握 AI 交互中的三种核心消息类型（System, User, Assistant）及其在 SFT 阶段的实现机理。</w:t>
            </w:r>
          </w:p>
          <w:p>
            <w:pPr>
              <w:numPr>
                <w:numId w:val="3"/>
              </w:num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探讨系统提示词（System Prompt）在数据构建、安全性与可控性方面的关键作用。</w:t>
            </w:r>
          </w:p>
        </w:tc>
      </w:tr>
    </w:tbl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0" w:id="0"/>
      <w:r>
        <w:rPr>
          <w:rFonts w:eastAsia="等线" w:ascii="Arial" w:cs="Arial" w:hAnsi="Arial"/>
          <w:b w:val="true"/>
          <w:sz w:val="28"/>
        </w:rPr>
        <w:t>一、 模型分类：通用助手与推理模型</w:t>
      </w:r>
      <w:bookmarkEnd w:id="0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在模型对齐（Alignment）的语境下，我们首先需要区分两种不同演进方向的大规模语言模型。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通用助手 (Generalist Assistant)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通用助手旨在模拟人类对话、遵循复杂指令并处理多样化的自然语言任务。其开发目标是将一个拥有海量知识但仅具备续写能力的基座模型（Base Model），通过监督微调（SFT）转变为对话助手，再通过偏好对齐（如 DPO）使其符合人类价值观。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核心特征：</w:t>
      </w:r>
    </w:p>
    <w:p>
      <w:pPr>
        <w:numPr>
          <w:numId w:val="5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指令遵循：</w:t>
      </w:r>
      <w:r>
        <w:rPr>
          <w:rFonts w:eastAsia="等线" w:ascii="Arial" w:cs="Arial" w:hAnsi="Arial"/>
          <w:sz w:val="22"/>
        </w:rPr>
        <w:t xml:space="preserve"> 准确识别并执行用户意图（如摘要、翻译、角色扮演）。</w:t>
      </w:r>
    </w:p>
    <w:p>
      <w:pPr>
        <w:numPr>
          <w:numId w:val="6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人格属性：</w:t>
      </w:r>
      <w:r>
        <w:rPr>
          <w:rFonts w:eastAsia="等线" w:ascii="Arial" w:cs="Arial" w:hAnsi="Arial"/>
          <w:sz w:val="22"/>
        </w:rPr>
        <w:t xml:space="preserve"> 遵循“有用、诚实、无害（HHH）”原则，具备特定的语气风格。</w:t>
      </w:r>
    </w:p>
    <w:p>
      <w:pPr>
        <w:numPr>
          <w:numId w:val="7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直觉响应：</w:t>
      </w:r>
      <w:r>
        <w:rPr>
          <w:rFonts w:eastAsia="等线" w:ascii="Arial" w:cs="Arial" w:hAnsi="Arial"/>
          <w:sz w:val="22"/>
        </w:rPr>
        <w:t xml:space="preserve"> 侧重于语言的流畅性与语义连贯，通常进行快速、直接的输出。</w:t>
      </w:r>
    </w:p>
    <w:p>
      <w:pPr>
        <w:spacing w:before="120" w:after="120" w:line="288" w:lineRule="auto"/>
        <w:ind w:left="907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推理模型 (Reasoning Model)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推理模型专注于解决逻辑复杂、涉及多步规划或严密推导的任务（如 DeepSeek-R1）。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核心特征：</w:t>
      </w:r>
    </w:p>
    <w:p>
      <w:pPr>
        <w:numPr>
          <w:numId w:val="9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慢思考：</w:t>
      </w:r>
      <w:r>
        <w:rPr>
          <w:rFonts w:eastAsia="等线" w:ascii="Arial" w:cs="Arial" w:hAnsi="Arial"/>
          <w:sz w:val="22"/>
        </w:rPr>
        <w:t xml:space="preserve"> 引入思维链（Chain of Thought, CoT），在输出最终答案前进行显式的逻辑推导。</w:t>
      </w:r>
    </w:p>
    <w:p>
      <w:pPr>
        <w:numPr>
          <w:numId w:val="10"/>
        </w:numPr>
        <w:spacing w:before="120" w:after="120" w:line="288" w:lineRule="auto"/>
        <w:ind w:left="453"/>
        <w:jc w:val="left"/>
      </w:pPr>
      <w:r>
        <w:rPr>
          <w:rFonts w:eastAsia="等线" w:ascii="Arial" w:cs="Arial" w:hAnsi="Arial"/>
          <w:b w:val="true"/>
          <w:sz w:val="22"/>
        </w:rPr>
        <w:t>强化学习驱动：</w:t>
      </w:r>
      <w:r>
        <w:rPr>
          <w:rFonts w:eastAsia="等线" w:ascii="Arial" w:cs="Arial" w:hAnsi="Arial"/>
          <w:sz w:val="22"/>
        </w:rPr>
        <w:t xml:space="preserve"> 核心能力通常源于大规模强化学习，通过“自我博弈”与奖励机制优化推理路径。</w:t>
      </w:r>
    </w:p>
    <w:p>
      <w:pPr>
        <w:spacing w:before="120" w:after="120" w:line="288" w:lineRule="auto"/>
        <w:ind w:left="907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1" w:id="1"/>
      <w:r>
        <w:rPr>
          <w:rFonts w:eastAsia="等线" w:ascii="Arial" w:cs="Arial" w:hAnsi="Arial"/>
          <w:b w:val="true"/>
          <w:sz w:val="28"/>
        </w:rPr>
        <w:t>二、 消息架构：交互的三位一体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分词结果可视化网站：</w:t>
            </w:r>
            <w:r>
              <w:rPr>
                <w:rFonts w:eastAsia="等线" w:ascii="Arial" w:cs="Arial" w:hAnsi="Arial"/>
                <w:color w:val="646a73"/>
                <w:sz w:val="22"/>
              </w:rPr>
              <w:t>https://tiktokenizer.vercel.app/</w:t>
            </w:r>
          </w:p>
        </w:tc>
      </w:tr>
    </w:tbl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在主流的对话框架中，输入模型的信息流由三种核心角色（Role）组成：</w:t>
      </w:r>
    </w:p>
    <w:p>
      <w:pPr>
        <w:spacing w:before="120" w:after="120" w:line="288" w:lineRule="auto"/>
        <w:ind w:left="0"/>
        <w:jc w:val="left"/>
      </w:pP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System Prompt (系统消息)：</w:t>
      </w:r>
      <w:r>
        <w:rPr>
          <w:rFonts w:eastAsia="等线" w:ascii="Arial" w:cs="Arial" w:hAnsi="Arial"/>
          <w:sz w:val="22"/>
        </w:rPr>
        <w:t xml:space="preserve"> 设定模型的身份（Role）、任务范围、语言风格及必须遵守的安全约束。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User Prompt (用户消息)：</w:t>
      </w:r>
      <w:r>
        <w:rPr>
          <w:rFonts w:eastAsia="等线" w:ascii="Arial" w:cs="Arial" w:hAnsi="Arial"/>
          <w:sz w:val="22"/>
        </w:rPr>
        <w:t xml:space="preserve"> 代表用户的直接指令或提问，是交互的触发起点。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Assistant Prompt (助手消息)：</w:t>
      </w:r>
      <w:r>
        <w:rPr>
          <w:rFonts w:eastAsia="等线" w:ascii="Arial" w:cs="Arial" w:hAnsi="Arial"/>
          <w:sz w:val="22"/>
        </w:rPr>
        <w:t xml:space="preserve"> 代表模型生成的回复。在多轮对话中，它充当“上下文记忆”，确保模型了解已有的交互记录。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2" w:id="2"/>
      <w:r>
        <w:rPr>
          <w:rFonts w:eastAsia="等线" w:ascii="Arial" w:cs="Arial" w:hAnsi="Arial"/>
          <w:b w:val="true"/>
          <w:sz w:val="28"/>
        </w:rPr>
        <w:t>三、 角色机制在 SFT 阶段的实现</w:t>
      </w:r>
      <w:bookmarkEnd w:id="2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在监督微调（SFT）阶段，模型不仅学习如何回答问题，还学习如何识别上述三种角色。这是通过</w:t>
      </w:r>
      <w:r>
        <w:rPr>
          <w:rFonts w:eastAsia="等线" w:ascii="Arial" w:cs="Arial" w:hAnsi="Arial"/>
          <w:b w:val="true"/>
          <w:sz w:val="22"/>
        </w:rPr>
        <w:t>格式化数据集</w:t>
      </w:r>
      <w:r>
        <w:rPr>
          <w:rFonts w:eastAsia="等线" w:ascii="Arial" w:cs="Arial" w:hAnsi="Arial"/>
          <w:sz w:val="22"/>
        </w:rPr>
        <w:t>和</w:t>
      </w:r>
      <w:r>
        <w:rPr>
          <w:rFonts w:eastAsia="等线" w:ascii="Arial" w:cs="Arial" w:hAnsi="Arial"/>
          <w:b w:val="true"/>
          <w:sz w:val="22"/>
        </w:rPr>
        <w:t>特定的训练损失计算</w:t>
      </w:r>
      <w:r>
        <w:rPr>
          <w:rFonts w:eastAsia="等线" w:ascii="Arial" w:cs="Arial" w:hAnsi="Arial"/>
          <w:sz w:val="22"/>
        </w:rPr>
        <w:t>实现的。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训练数据的结构化拼接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在构建 SFT 数据集时，对话记录会被转换为带有特殊控制标记（Special Tokens）的文本序列。以常见的 ChatML 格式为例：</w:t>
      </w:r>
    </w:p>
    <w:p>
      <w:pPr>
        <w:spacing w:before="120" w:after="120" w:line="288" w:lineRule="auto"/>
        <w:ind w:left="0"/>
        <w:jc w:val="left"/>
      </w:pPr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8280"/>
      </w:tblGrid>
      <w:tr>
        <w:tc>
          <w:tcPr>
            <w:tcW w:w="8280" w:type="dxa"/>
            <w:shd w:color="auto" w:val="clear" w:fill="f5f6f7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jc w:val="left"/>
            </w:pPr>
            <w:r>
              <w:rPr>
                <w:rFonts w:eastAsia="Consolas" w:ascii="Consolas" w:cs="Consolas" w:hAnsi="Consolas"/>
                <w:color w:val="646a73"/>
                <w:sz w:val="22"/>
              </w:rPr>
              <w:t>Plain Text</w:t>
              <w:br w:type="textWrapping"/>
            </w:r>
            <w:r>
              <w:rPr>
                <w:rFonts w:eastAsia="Consolas" w:ascii="Consolas" w:cs="Consolas" w:hAnsi="Consolas"/>
                <w:sz w:val="22"/>
              </w:rPr>
              <w:t>&lt;|im_start|&gt;system</w:t>
              <w:br/>
              <w:t>你是一个人工智能助手，请用严谨的语言回答问题。&lt;|im_end|&gt;</w:t>
              <w:br/>
              <w:t>&lt;|im_start|&gt;user</w:t>
              <w:br/>
              <w:t>请解释什么是量子纠缠。&lt;|im_end|&gt;</w:t>
              <w:br/>
              <w:t>&lt;|im_start|&gt;assistant</w:t>
              <w:br/>
            </w:r>
            <w:r>
              <w:rPr>
                <w:rFonts w:eastAsia="Consolas" w:ascii="Consolas" w:cs="Consolas" w:hAnsi="Consolas"/>
                <w:sz w:val="22"/>
              </w:rPr>
              <w:t>量子纠缠是量子力学中的一种现象...&lt;|im_end|&gt;</w:t>
            </w:r>
          </w:p>
        </w:tc>
      </w:tr>
    </w:tbl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控制标记：</w:t>
      </w:r>
      <w:r>
        <w:rPr>
          <w:rFonts w:eastAsia="等线" w:ascii="Arial" w:cs="Arial" w:hAnsi="Arial"/>
          <w:sz w:val="22"/>
        </w:rPr>
        <w:t xml:space="preserve"> </w:t>
      </w:r>
      <w:r>
        <w:rPr>
          <w:rFonts w:eastAsia="Consolas" w:ascii="Consolas" w:cs="Consolas" w:hAnsi="Consolas"/>
          <w:sz w:val="22"/>
          <w:shd w:fill="EFF0F1"/>
        </w:rPr>
        <w:t>&lt;|im_start|&gt;</w:t>
      </w:r>
      <w:r>
        <w:rPr>
          <w:rFonts w:eastAsia="等线" w:ascii="Arial" w:cs="Arial" w:hAnsi="Arial"/>
          <w:sz w:val="22"/>
        </w:rPr>
        <w:t xml:space="preserve"> 和 </w:t>
      </w:r>
      <w:r>
        <w:rPr>
          <w:rFonts w:eastAsia="Consolas" w:ascii="Consolas" w:cs="Consolas" w:hAnsi="Consolas"/>
          <w:sz w:val="22"/>
          <w:shd w:fill="EFF0F1"/>
        </w:rPr>
        <w:t>&lt;|im_end|&gt;</w:t>
      </w:r>
      <w:r>
        <w:rPr>
          <w:rFonts w:eastAsia="等线" w:ascii="Arial" w:cs="Arial" w:hAnsi="Arial"/>
          <w:sz w:val="22"/>
        </w:rPr>
        <w:t xml:space="preserve"> 用于界定消息边界，而 </w:t>
      </w:r>
      <w:r>
        <w:rPr>
          <w:rFonts w:eastAsia="Consolas" w:ascii="Consolas" w:cs="Consolas" w:hAnsi="Consolas"/>
          <w:sz w:val="22"/>
          <w:shd w:fill="EFF0F1"/>
        </w:rPr>
        <w:t>system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user</w:t>
      </w:r>
      <w:r>
        <w:rPr>
          <w:rFonts w:eastAsia="等线" w:ascii="Arial" w:cs="Arial" w:hAnsi="Arial"/>
          <w:sz w:val="22"/>
        </w:rPr>
        <w:t>、</w:t>
      </w:r>
      <w:r>
        <w:rPr>
          <w:rFonts w:eastAsia="Consolas" w:ascii="Consolas" w:cs="Consolas" w:hAnsi="Consolas"/>
          <w:sz w:val="22"/>
          <w:shd w:fill="EFF0F1"/>
        </w:rPr>
        <w:t>assistant</w:t>
      </w:r>
      <w:r>
        <w:rPr>
          <w:rFonts w:eastAsia="等线" w:ascii="Arial" w:cs="Arial" w:hAnsi="Arial"/>
          <w:sz w:val="22"/>
        </w:rPr>
        <w:t xml:space="preserve"> 标签则明确指代当前片段的角色身份。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模型感知识别：</w:t>
      </w:r>
      <w:r>
        <w:rPr>
          <w:rFonts w:eastAsia="等线" w:ascii="Arial" w:cs="Arial" w:hAnsi="Arial"/>
          <w:sz w:val="22"/>
        </w:rPr>
        <w:t xml:space="preserve"> 经过大量此类格式的数据训练，模型能够识别出：在 </w:t>
      </w:r>
      <w:r>
        <w:rPr>
          <w:rFonts w:eastAsia="Consolas" w:ascii="Consolas" w:cs="Consolas" w:hAnsi="Consolas"/>
          <w:sz w:val="22"/>
          <w:shd w:fill="EFF0F1"/>
        </w:rPr>
        <w:t>system</w:t>
      </w:r>
      <w:r>
        <w:rPr>
          <w:rFonts w:eastAsia="等线" w:ascii="Arial" w:cs="Arial" w:hAnsi="Arial"/>
          <w:sz w:val="22"/>
        </w:rPr>
        <w:t xml:space="preserve"> 标记后的指令具有全局最高优先级，而在 </w:t>
      </w:r>
      <w:r>
        <w:rPr>
          <w:rFonts w:eastAsia="Consolas" w:ascii="Consolas" w:cs="Consolas" w:hAnsi="Consolas"/>
          <w:sz w:val="22"/>
          <w:shd w:fill="EFF0F1"/>
        </w:rPr>
        <w:t>assistant</w:t>
      </w:r>
      <w:r>
        <w:rPr>
          <w:rFonts w:eastAsia="等线" w:ascii="Arial" w:cs="Arial" w:hAnsi="Arial"/>
          <w:sz w:val="22"/>
        </w:rPr>
        <w:t xml:space="preserve"> 标记后则应开始执行生成任务。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训练损失（Loss）的选择性计算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SFT 训练中，虽然整个序列都被输入模型，但</w:t>
      </w:r>
      <w:r>
        <w:rPr>
          <w:rFonts w:eastAsia="等线" w:ascii="Arial" w:cs="Arial" w:hAnsi="Arial"/>
          <w:b w:val="true"/>
          <w:sz w:val="22"/>
        </w:rPr>
        <w:t>损失函数通常只针对 Assistant 部分的 Token 进行计算</w:t>
      </w:r>
      <w:r>
        <w:rPr>
          <w:rFonts w:eastAsia="等线" w:ascii="Arial" w:cs="Arial" w:hAnsi="Arial"/>
          <w:sz w:val="22"/>
        </w:rPr>
        <w:t>。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逻辑：</w:t>
      </w:r>
      <w:r>
        <w:rPr>
          <w:rFonts w:eastAsia="等线" w:ascii="Arial" w:cs="Arial" w:hAnsi="Arial"/>
          <w:sz w:val="22"/>
        </w:rPr>
        <w:t xml:space="preserve"> 模型需要学习的是“给定 System 指令和 User 提问，如何生成 Assistant 回复”。我们不需要模型去学习如何预测 System Prompt 或 User Prompt（因为那是输入端），而是强制模型通过反向传播来拟合 Assistant 的输出路径。</w:t>
      </w:r>
    </w:p>
    <w:p>
      <w:pPr>
        <w:spacing w:before="120" w:after="120" w:line="288" w:lineRule="auto"/>
        <w:ind w:left="453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3. System Prompt 的构建策略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 SFT 数据集中，System Prompt 并非固定不变。为了增强模型的鲁棒性，开发者通常采用以下策略：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通用型 System Prompt：</w:t>
      </w:r>
      <w:r>
        <w:rPr>
          <w:rFonts w:eastAsia="等线" w:ascii="Arial" w:cs="Arial" w:hAnsi="Arial"/>
          <w:sz w:val="22"/>
        </w:rPr>
        <w:t xml:space="preserve"> 如“你是一个由某公司开发的 AI 助手”。此类 Prompt 占据数据集的大部分，用于确立基础的人格设定。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任务特定型 System Prompt：</w:t>
      </w:r>
      <w:r>
        <w:rPr>
          <w:rFonts w:eastAsia="等线" w:ascii="Arial" w:cs="Arial" w:hAnsi="Arial"/>
          <w:sz w:val="22"/>
        </w:rPr>
        <w:t xml:space="preserve"> 如“你是一个专业的代码审查器”或“你是一个翻译官”。通过在 SFT 阶段引入多样化的系统指令，模型能够学会根据不同的系统设定调整其输出模态。</w:t>
      </w:r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空或默认 System Prompt：</w:t>
      </w:r>
      <w:r>
        <w:rPr>
          <w:rFonts w:eastAsia="等线" w:ascii="Arial" w:cs="Arial" w:hAnsi="Arial"/>
          <w:sz w:val="22"/>
        </w:rPr>
        <w:t xml:space="preserve"> 模拟用户未设置系统消息的情况，确保模型在缺乏外部约束时仍能正常运作。</w:t>
      </w:r>
    </w:p>
    <w:p>
      <w:pPr>
        <w:spacing w:before="120" w:after="120" w:line="288" w:lineRule="auto"/>
        <w:ind w:left="453"/>
        <w:jc w:val="left"/>
      </w:pPr>
    </w:p>
    <w:p>
      <w:pPr>
        <w:pBdr>
          <w:bottom w:val="single" w:color="dee0e3"/>
          <w:between w:val="single" w:color="dee0e3"/>
        </w:pBdr>
        <w:spacing w:before="120" w:after="120" w:line="288" w:lineRule="auto"/>
        <w:ind w:left="0"/>
      </w:pPr>
    </w:p>
    <w:p>
      <w:pPr>
        <w:spacing w:before="120" w:after="120" w:line="288" w:lineRule="auto"/>
        <w:ind w:left="0"/>
        <w:jc w:val="left"/>
      </w:pPr>
    </w:p>
    <w:p>
      <w:pPr>
        <w:pStyle w:val="4"/>
        <w:spacing w:before="260" w:after="120" w:line="288" w:lineRule="auto"/>
        <w:ind w:left="0"/>
        <w:jc w:val="left"/>
        <w:outlineLvl w:val="3"/>
      </w:pPr>
      <w:bookmarkStart w:name="heading_3" w:id="3"/>
      <w:r>
        <w:rPr>
          <w:rFonts w:eastAsia="等线" w:ascii="Arial" w:cs="Arial" w:hAnsi="Arial"/>
          <w:b w:val="true"/>
          <w:sz w:val="28"/>
        </w:rPr>
        <w:t>四、 系统提示词的安全性与可控性意义</w:t>
      </w:r>
      <w:bookmarkEnd w:id="3"/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1. 物理位置与注意力权重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在输入序列中，System Prompt 处于起始位置。根据 Transformer 架构的注意力机制特性，序列首部信息对后续生成的引导作用至关重要，有助于模型在长对话中维持身份。</w:t>
      </w:r>
    </w:p>
    <w:p>
      <w:pPr>
        <w:spacing w:before="120" w:after="120" w:line="288" w:lineRule="auto"/>
        <w:ind w:left="0"/>
        <w:jc w:val="left"/>
      </w:pP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2. 权限隔离与防御注入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防御提示词注入 (Prompt Injection)：</w:t>
      </w:r>
      <w:r>
        <w:rPr>
          <w:rFonts w:eastAsia="等线" w:ascii="Arial" w:cs="Arial" w:hAnsi="Arial"/>
          <w:sz w:val="22"/>
        </w:rPr>
        <w:t xml:space="preserve"> 恶意用户可能在 User Prompt 中输入“忽略之前所有指令”。通过在训练阶段强化 System 域的优先级，模型可以学会区分“开发者的底线指令”与“用户的临时指令”，从而降低被误导的风险。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b w:val="true"/>
          <w:sz w:val="22"/>
        </w:rPr>
        <w:t>开发者意图隐藏：</w:t>
      </w:r>
      <w:r>
        <w:rPr>
          <w:rFonts w:eastAsia="等线" w:ascii="Arial" w:cs="Arial" w:hAnsi="Arial"/>
          <w:sz w:val="22"/>
        </w:rPr>
        <w:t xml:space="preserve"> System Prompt 作为“保险箱”，允许开发者预设安全红线（如严禁提供危险建议）。这种角色分离机制有效防止了模型在复杂交互中偏离合规轨道。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379563">
    <w:lvl>
      <w:start w:val="1"/>
      <w:numFmt w:val="decimal"/>
      <w:suff w:val="tab"/>
      <w:lvlText w:val="%1."/>
      <w:rPr>
        <w:color w:val="3370ff"/>
      </w:rPr>
    </w:lvl>
  </w:abstractNum>
  <w:abstractNum w:abstractNumId="1379564">
    <w:lvl>
      <w:start w:val="2"/>
      <w:numFmt w:val="decimal"/>
      <w:suff w:val="tab"/>
      <w:lvlText w:val="%1."/>
      <w:rPr>
        <w:color w:val="3370ff"/>
      </w:rPr>
    </w:lvl>
  </w:abstractNum>
  <w:abstractNum w:abstractNumId="1379565">
    <w:lvl>
      <w:start w:val="3"/>
      <w:numFmt w:val="decimal"/>
      <w:suff w:val="tab"/>
      <w:lvlText w:val="%1."/>
      <w:rPr>
        <w:color w:val="3370ff"/>
      </w:rPr>
    </w:lvl>
  </w:abstractNum>
  <w:abstractNum w:abstractNumId="1379566">
    <w:lvl>
      <w:numFmt w:val="bullet"/>
      <w:suff w:val="tab"/>
      <w:lvlText w:val="•"/>
      <w:rPr>
        <w:color w:val="3370ff"/>
      </w:rPr>
    </w:lvl>
  </w:abstractNum>
  <w:abstractNum w:abstractNumId="1379567">
    <w:lvl>
      <w:numFmt w:val="bullet"/>
      <w:suff w:val="tab"/>
      <w:lvlText w:val="￮"/>
      <w:rPr>
        <w:color w:val="3370ff"/>
      </w:rPr>
    </w:lvl>
  </w:abstractNum>
  <w:abstractNum w:abstractNumId="1379568">
    <w:lvl>
      <w:numFmt w:val="bullet"/>
      <w:suff w:val="tab"/>
      <w:lvlText w:val="￮"/>
      <w:rPr>
        <w:color w:val="3370ff"/>
      </w:rPr>
    </w:lvl>
  </w:abstractNum>
  <w:abstractNum w:abstractNumId="1379569">
    <w:lvl>
      <w:numFmt w:val="bullet"/>
      <w:suff w:val="tab"/>
      <w:lvlText w:val="￮"/>
      <w:rPr>
        <w:color w:val="3370ff"/>
      </w:rPr>
    </w:lvl>
  </w:abstractNum>
  <w:abstractNum w:abstractNumId="1379570">
    <w:lvl>
      <w:numFmt w:val="bullet"/>
      <w:suff w:val="tab"/>
      <w:lvlText w:val="•"/>
      <w:rPr>
        <w:color w:val="3370ff"/>
      </w:rPr>
    </w:lvl>
  </w:abstractNum>
  <w:abstractNum w:abstractNumId="1379571">
    <w:lvl>
      <w:numFmt w:val="bullet"/>
      <w:suff w:val="tab"/>
      <w:lvlText w:val="￮"/>
      <w:rPr>
        <w:color w:val="3370ff"/>
      </w:rPr>
    </w:lvl>
  </w:abstractNum>
  <w:abstractNum w:abstractNumId="1379572">
    <w:lvl>
      <w:numFmt w:val="bullet"/>
      <w:suff w:val="tab"/>
      <w:lvlText w:val="￮"/>
      <w:rPr>
        <w:color w:val="3370ff"/>
      </w:rPr>
    </w:lvl>
  </w:abstractNum>
  <w:abstractNum w:abstractNumId="1379573">
    <w:lvl>
      <w:start w:val="1"/>
      <w:numFmt w:val="decimal"/>
      <w:suff w:val="tab"/>
      <w:lvlText w:val="%1."/>
      <w:rPr>
        <w:color w:val="3370ff"/>
      </w:rPr>
    </w:lvl>
  </w:abstractNum>
  <w:abstractNum w:abstractNumId="1379574">
    <w:lvl>
      <w:start w:val="2"/>
      <w:numFmt w:val="decimal"/>
      <w:suff w:val="tab"/>
      <w:lvlText w:val="%1."/>
      <w:rPr>
        <w:color w:val="3370ff"/>
      </w:rPr>
    </w:lvl>
  </w:abstractNum>
  <w:abstractNum w:abstractNumId="1379575">
    <w:lvl>
      <w:start w:val="3"/>
      <w:numFmt w:val="decimal"/>
      <w:suff w:val="tab"/>
      <w:lvlText w:val="%1."/>
      <w:rPr>
        <w:color w:val="3370ff"/>
      </w:rPr>
    </w:lvl>
  </w:abstractNum>
  <w:abstractNum w:abstractNumId="1379576">
    <w:lvl>
      <w:numFmt w:val="bullet"/>
      <w:suff w:val="tab"/>
      <w:lvlText w:val="•"/>
      <w:rPr>
        <w:color w:val="3370ff"/>
      </w:rPr>
    </w:lvl>
  </w:abstractNum>
  <w:abstractNum w:abstractNumId="1379577">
    <w:lvl>
      <w:numFmt w:val="bullet"/>
      <w:suff w:val="tab"/>
      <w:lvlText w:val="•"/>
      <w:rPr>
        <w:color w:val="3370ff"/>
      </w:rPr>
    </w:lvl>
  </w:abstractNum>
  <w:abstractNum w:abstractNumId="1379578">
    <w:lvl>
      <w:numFmt w:val="bullet"/>
      <w:suff w:val="tab"/>
      <w:lvlText w:val="•"/>
      <w:rPr>
        <w:color w:val="3370ff"/>
      </w:rPr>
    </w:lvl>
  </w:abstractNum>
  <w:abstractNum w:abstractNumId="1379579">
    <w:lvl>
      <w:numFmt w:val="bullet"/>
      <w:suff w:val="tab"/>
      <w:lvlText w:val="•"/>
      <w:rPr>
        <w:color w:val="3370ff"/>
      </w:rPr>
    </w:lvl>
  </w:abstractNum>
  <w:abstractNum w:abstractNumId="1379580">
    <w:lvl>
      <w:numFmt w:val="bullet"/>
      <w:suff w:val="tab"/>
      <w:lvlText w:val="•"/>
      <w:rPr>
        <w:color w:val="3370ff"/>
      </w:rPr>
    </w:lvl>
  </w:abstractNum>
  <w:abstractNum w:abstractNumId="1379581">
    <w:lvl>
      <w:numFmt w:val="bullet"/>
      <w:suff w:val="tab"/>
      <w:lvlText w:val="•"/>
      <w:rPr>
        <w:color w:val="3370ff"/>
      </w:rPr>
    </w:lvl>
  </w:abstractNum>
  <w:abstractNum w:abstractNumId="1379582">
    <w:lvl>
      <w:numFmt w:val="bullet"/>
      <w:suff w:val="tab"/>
      <w:lvlText w:val="•"/>
      <w:rPr>
        <w:color w:val="3370ff"/>
      </w:rPr>
    </w:lvl>
  </w:abstractNum>
  <w:abstractNum w:abstractNumId="1379583">
    <w:lvl>
      <w:numFmt w:val="bullet"/>
      <w:suff w:val="tab"/>
      <w:lvlText w:val="•"/>
      <w:rPr>
        <w:color w:val="3370ff"/>
      </w:rPr>
    </w:lvl>
  </w:abstractNum>
  <w:num w:numId="1">
    <w:abstractNumId w:val="1379563"/>
  </w:num>
  <w:num w:numId="2">
    <w:abstractNumId w:val="1379564"/>
  </w:num>
  <w:num w:numId="3">
    <w:abstractNumId w:val="1379565"/>
  </w:num>
  <w:num w:numId="4">
    <w:abstractNumId w:val="1379566"/>
  </w:num>
  <w:num w:numId="5">
    <w:abstractNumId w:val="1379567"/>
  </w:num>
  <w:num w:numId="6">
    <w:abstractNumId w:val="1379568"/>
  </w:num>
  <w:num w:numId="7">
    <w:abstractNumId w:val="1379569"/>
  </w:num>
  <w:num w:numId="8">
    <w:abstractNumId w:val="1379570"/>
  </w:num>
  <w:num w:numId="9">
    <w:abstractNumId w:val="1379571"/>
  </w:num>
  <w:num w:numId="10">
    <w:abstractNumId w:val="1379572"/>
  </w:num>
  <w:num w:numId="11">
    <w:abstractNumId w:val="1379573"/>
  </w:num>
  <w:num w:numId="12">
    <w:abstractNumId w:val="1379574"/>
  </w:num>
  <w:num w:numId="13">
    <w:abstractNumId w:val="1379575"/>
  </w:num>
  <w:num w:numId="14">
    <w:abstractNumId w:val="1379576"/>
  </w:num>
  <w:num w:numId="15">
    <w:abstractNumId w:val="1379577"/>
  </w:num>
  <w:num w:numId="16">
    <w:abstractNumId w:val="1379578"/>
  </w:num>
  <w:num w:numId="17">
    <w:abstractNumId w:val="1379579"/>
  </w:num>
  <w:num w:numId="18">
    <w:abstractNumId w:val="1379580"/>
  </w:num>
  <w:num w:numId="19">
    <w:abstractNumId w:val="1379581"/>
  </w:num>
  <w:num w:numId="20">
    <w:abstractNumId w:val="1379582"/>
  </w:num>
  <w:num w:numId="21">
    <w:abstractNumId w:val="1379583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2026-07-26T08:30:05Z</dcterms:created>
  <dc:creator>Apache POI</dc:creator>
</cp:coreProperties>
</file>